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소셜엔지니어링 대응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소셜엔지니어링 대응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피싱 이메일 식별법: 발신자 도메인 확인, 링크 클릭 금지</w:t>
      </w:r>
    </w:p>
    <w:p>
      <w:pPr>
        <w:ind w:left="283"/>
      </w:pPr>
      <w:r>
        <w:rPr>
          <w:sz w:val="20"/>
        </w:rPr>
        <w:t>• 전화 사칭 대응: 콜백 원칙, 정보 제공 금지</w:t>
      </w:r>
    </w:p>
    <w:p>
      <w:pPr>
        <w:ind w:left="283"/>
      </w:pPr>
      <w:r>
        <w:rPr>
          <w:sz w:val="20"/>
        </w:rPr>
        <w:t>• 이상 사례 즉시 CISO 보고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