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이메일 보안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이메일 보안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업무용 이메일 계정과 개인 이메일 분리</w:t>
      </w:r>
    </w:p>
    <w:p>
      <w:pPr>
        <w:ind w:left="283"/>
      </w:pPr>
      <w:r>
        <w:rPr>
          <w:sz w:val="20"/>
        </w:rPr>
        <w:t>• 외부 발송 시 기밀정보 암호화 첨부</w:t>
      </w:r>
    </w:p>
    <w:p>
      <w:pPr>
        <w:ind w:left="283"/>
      </w:pPr>
      <w:r>
        <w:rPr>
          <w:sz w:val="20"/>
        </w:rPr>
        <w:t>• 수신 이메일 첨부파일 백신 검사 후 열람</w:t>
      </w:r>
    </w:p>
    <w:p>
      <w:pPr>
        <w:ind w:left="283"/>
      </w:pPr>
      <w:r>
        <w:rPr>
          <w:sz w:val="20"/>
        </w:rPr>
        <w:t>• 스팸·피싱 신고 절차 준수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