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9120"/>
            <w:gridSpan w:val="4"/>
            <w:shd w:val="clear" w:color="auto" w:fill="EBF3FB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512000" cy="15460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15460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color w:val="1F3864"/>
                <w:sz w:val="22"/>
              </w:rPr>
              <w:tab/>
              <w:tab/>
              <w:tab/>
              <w:t>(주)한영피엔에스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문서번호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ISMS-G-008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개정번호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Rev.1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문서명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보안 감사 수행 지침서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작성일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2026-03-06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작성부서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기술연구소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관련 ISO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ISO 27001:2022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검토자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기술연구소장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승인자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대표이사  김윤섭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00" cy="576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mp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0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1"/>
      </w:pPr>
      <w:r>
        <w:rPr>
          <w:b/>
          <w:color w:val="1F3864"/>
          <w:sz w:val="24"/>
        </w:rPr>
        <w:t>1. 목적 및 적용범위</w:t>
      </w:r>
    </w:p>
    <w:p>
      <w:r>
        <w:rPr>
          <w:sz w:val="20"/>
        </w:rPr>
        <w:t>본 지침서는 (주)한영피엔에스의 정보보안 보안 감사 수행 지침서에 관한 세부 기준을 정한다.</w:t>
      </w:r>
    </w:p>
    <w:p>
      <w:pPr>
        <w:pStyle w:val="Heading1"/>
      </w:pPr>
      <w:r>
        <w:rPr>
          <w:b/>
          <w:color w:val="1F3864"/>
          <w:sz w:val="24"/>
        </w:rPr>
        <w:t>2. 세부 기준</w:t>
      </w:r>
    </w:p>
    <w:p>
      <w:pPr>
        <w:ind w:left="283"/>
      </w:pPr>
      <w:r>
        <w:rPr>
          <w:sz w:val="20"/>
        </w:rPr>
        <w:t>• 연 1회 정기 보안감사, 수시 감사 가능</w:t>
      </w:r>
    </w:p>
    <w:p>
      <w:pPr>
        <w:ind w:left="283"/>
      </w:pPr>
      <w:r>
        <w:rPr>
          <w:sz w:val="20"/>
        </w:rPr>
        <w:t>• 감사 범위: 기술적·관리적·물리적 통제 전반</w:t>
      </w:r>
    </w:p>
    <w:p>
      <w:pPr>
        <w:ind w:left="283"/>
      </w:pPr>
      <w:r>
        <w:rPr>
          <w:sz w:val="20"/>
        </w:rPr>
        <w:t>• 취약점 발견 시 30일 내 조치 완료</w:t>
      </w:r>
    </w:p>
    <w:p>
      <w:pPr>
        <w:ind w:left="283"/>
      </w:pPr>
      <w:r>
        <w:rPr>
          <w:sz w:val="20"/>
        </w:rPr>
        <w:t>• 감사 결과 경영진 보고 필수</w:t>
      </w:r>
    </w:p>
    <w:p>
      <w:pPr>
        <w:pStyle w:val="Heading1"/>
      </w:pPr>
      <w:r>
        <w:rPr>
          <w:b/>
          <w:color w:val="1F3864"/>
          <w:sz w:val="24"/>
        </w:rPr>
        <w:t>3. 위반 시 처리</w:t>
      </w:r>
    </w:p>
    <w:p>
      <w:r>
        <w:rPr>
          <w:sz w:val="20"/>
        </w:rPr>
        <w:t>본 지침서를 위반하는 경우 사규에 따라 징계 조치하며, 법적 책임이 발생할 수 있다.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