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 처리 보안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개인정보 처리 보안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개인정보 최소 수집 원칙</w:t>
      </w:r>
    </w:p>
    <w:p>
      <w:pPr>
        <w:ind w:left="283"/>
      </w:pPr>
      <w:r>
        <w:rPr>
          <w:sz w:val="20"/>
        </w:rPr>
        <w:t>• 목적 외 이용 금지, 제3자 제공 시 별도 동의</w:t>
      </w:r>
    </w:p>
    <w:p>
      <w:pPr>
        <w:ind w:left="283"/>
      </w:pPr>
      <w:r>
        <w:rPr>
          <w:sz w:val="20"/>
        </w:rPr>
        <w:t>• 개인정보 처리 현황 연 1회 점검</w:t>
      </w:r>
    </w:p>
    <w:p>
      <w:pPr>
        <w:ind w:left="283"/>
      </w:pPr>
      <w:r>
        <w:rPr>
          <w:sz w:val="20"/>
        </w:rPr>
        <w:t>• 파기 시 복구 불가능한 방법 적용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