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ISMS-G-012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정보보안 KPI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정보보안 KPI 관리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보안사고 발생 건수 (목표: 연 0건)</w:t>
      </w:r>
    </w:p>
    <w:p>
      <w:pPr>
        <w:ind w:left="283"/>
      </w:pPr>
      <w:r>
        <w:rPr>
          <w:sz w:val="20"/>
        </w:rPr>
        <w:t>• 취약점 패치율 (목표: 95%↑)</w:t>
      </w:r>
    </w:p>
    <w:p>
      <w:pPr>
        <w:ind w:left="283"/>
      </w:pPr>
      <w:r>
        <w:rPr>
          <w:sz w:val="20"/>
        </w:rPr>
        <w:t>• 보안교육 이수율 (목표: 100%)</w:t>
      </w:r>
    </w:p>
    <w:p>
      <w:pPr>
        <w:ind w:left="283"/>
      </w:pPr>
      <w:r>
        <w:rPr>
          <w:sz w:val="20"/>
        </w:rPr>
        <w:t>• 내부심사 지적사항 시정완료율 (목표: 90%↑)</w:t>
      </w:r>
    </w:p>
    <w:p>
      <w:pPr>
        <w:ind w:left="283"/>
      </w:pPr>
      <w:r>
        <w:rPr>
          <w:sz w:val="20"/>
        </w:rPr>
        <w:t>• KPI 월별 측정 및 분기 경영진 보고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