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ISMS-P-009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취약점 관리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r>
        <w:rPr>
          <w:sz w:val="20"/>
        </w:rPr>
        <w:t>시스템·네트워크·응용프로그램 취약점 진단 및 패치 관리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r>
        <w:rPr>
          <w:sz w:val="20"/>
        </w:rPr>
        <w:t>전사 서버, 네트워크 장비, 응용프로그램</w:t>
      </w:r>
    </w:p>
    <w:p>
      <w:pPr>
        <w:pStyle w:val="Heading1"/>
      </w:pPr>
      <w:r>
        <w:rPr>
          <w:b/>
          <w:color w:val="1F3864"/>
          <w:sz w:val="24"/>
        </w:rPr>
        <w:t>3.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활동 내용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기록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취약점 스캔(분기 1회)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IT팀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취약점스캔결과(ISMS-F-016)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취약점 분류 및 우선순위 설정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취약점목록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패치 적용 계획 수립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IT팀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패치계획서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패치 적용 및 결과 확인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IT팀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패치이행확인서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잔여 위험 수용 또는 대안 통제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잔여위험수용확인서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