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ABMS-G-004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사건번호 자동채번 및 기록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부패방지 사건 번호 체계 및 기록 관리 방법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ABCO, 법무팀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사건번호(Case Number)</w:t>
      </w:r>
    </w:p>
    <w:p>
      <w:pPr>
        <w:pStyle w:val="ListBullet"/>
        <w:ind w:left="283"/>
      </w:pPr>
      <w:r>
        <w:rPr>
          <w:sz w:val="20"/>
        </w:rPr>
        <w:t>기록관리(Record Management)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사건번호 체계: ABMS-CASE-[연도]-[순번]. 예: ABMS-CASE-2026-001. 기록 보존기간: 10년. 기밀 등급: 대외비 이상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