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ABMS-P-009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부적합 및 시정조치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부패 위반 및 ABMS 부적합 시정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ABMS 전 범위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부적합(Nonconformity)</w:t>
      </w:r>
    </w:p>
    <w:p>
      <w:pPr>
        <w:pStyle w:val="ListBullet"/>
        <w:ind w:left="283"/>
      </w:pPr>
      <w:r>
        <w:rPr>
          <w:sz w:val="20"/>
        </w:rPr>
        <w:t>시정조치(Corrective Action)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ABCO: 시정조치 총괄</w:t>
      </w:r>
    </w:p>
    <w:p>
      <w:pPr>
        <w:pStyle w:val="ListBullet"/>
        <w:ind w:left="283"/>
      </w:pPr>
      <w:r>
        <w:rPr>
          <w:sz w:val="20"/>
        </w:rPr>
        <w:t>부서장: 원인분석 및 조치</w:t>
      </w:r>
    </w:p>
    <w:p>
      <w:pPr>
        <w:pStyle w:val="ListBullet"/>
        <w:ind w:left="283"/>
      </w:pPr>
      <w:r>
        <w:rPr>
          <w:sz w:val="20"/>
        </w:rPr>
        <w:t>대표이사: 중징계 승인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부적합 식별 → 즉각 시정 → 근본 원인 분석 → 시정조치 계획 수립 → 실행 → 효과성 검증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ABMS-F-010_시정조치요청서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ABMS-P-007</w:t>
      </w:r>
    </w:p>
    <w:p>
      <w:pPr>
        <w:pStyle w:val="ListBullet"/>
        <w:ind w:left="283"/>
      </w:pPr>
      <w:r>
        <w:rPr>
          <w:sz w:val="20"/>
        </w:rPr>
        <w:t>ABMS-P-008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