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CMS-G-004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임직원 윤리강령 실천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임직원의 윤리적 행동 기준 및 이해충돌 방지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이해충돌(Conflict of Interest)</w:t>
      </w:r>
    </w:p>
    <w:p>
      <w:pPr>
        <w:pStyle w:val="ListBullet"/>
        <w:ind w:left="283"/>
      </w:pPr>
      <w:r>
        <w:rPr>
          <w:sz w:val="20"/>
        </w:rPr>
        <w:t>청탁금지(Anti-Solicitation)</w:t>
      </w:r>
    </w:p>
    <w:p>
      <w:pPr>
        <w:pStyle w:val="ListBullet"/>
        <w:ind w:left="283"/>
      </w:pPr>
      <w:r>
        <w:rPr>
          <w:sz w:val="20"/>
        </w:rPr>
        <w:t>직무관련자(Job-Related Person)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금품·향응 수수 금지, 부정청탁 금지, 이해충돌 자진 신고, 신고처: 준법관리자 또는 익명채널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