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CMS-P-001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법규 및 규제요구사항 파악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37301:2021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법규 변경 사항을 적시에 파악하여 시스템에 반영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전 조직 부서 및 법인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법규(Regulation)</w:t>
      </w:r>
    </w:p>
    <w:p>
      <w:pPr>
        <w:pStyle w:val="ListBullet"/>
        <w:ind w:left="283"/>
      </w:pPr>
      <w:r>
        <w:rPr>
          <w:sz w:val="20"/>
        </w:rPr>
        <w:t>규제요구사항(Regulatory Requirement)</w:t>
      </w:r>
    </w:p>
    <w:p>
      <w:pPr>
        <w:pStyle w:val="ListBullet"/>
        <w:ind w:left="283"/>
      </w:pPr>
      <w:r>
        <w:rPr>
          <w:sz w:val="20"/>
        </w:rPr>
        <w:t>준수의무(Compliance Obligation)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준법관리자: 법규 목록 관리 및 변경 모니터링</w:t>
      </w:r>
    </w:p>
    <w:p>
      <w:pPr>
        <w:pStyle w:val="ListBullet"/>
        <w:ind w:left="283"/>
      </w:pPr>
      <w:r>
        <w:rPr>
          <w:sz w:val="20"/>
        </w:rPr>
        <w:t>각 부서장: 소관 법규 적용 및 이행 책임</w:t>
      </w:r>
    </w:p>
    <w:p>
      <w:pPr>
        <w:pStyle w:val="ListBullet"/>
        <w:ind w:left="283"/>
      </w:pPr>
      <w:r>
        <w:rPr>
          <w:sz w:val="20"/>
        </w:rPr>
        <w:t>기술연구소장: 검토 및 승인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법규 목록 작성 → 변경 모니터링(월1회) → 영향 분석 → 담당부서 배포 → 이행 확인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CMS-F-001_법규목록</w:t>
      </w:r>
    </w:p>
    <w:p>
      <w:pPr>
        <w:pStyle w:val="ListBullet"/>
        <w:ind w:left="283"/>
      </w:pPr>
      <w:r>
        <w:rPr>
          <w:sz w:val="20"/>
        </w:rPr>
        <w:t>CMS-F-002_법규변경이력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CMS-P-002_준법리스크평가절차서</w:t>
      </w:r>
    </w:p>
    <w:p>
      <w:pPr>
        <w:pStyle w:val="ListBullet"/>
        <w:ind w:left="283"/>
      </w:pPr>
      <w:r>
        <w:rPr>
          <w:sz w:val="20"/>
        </w:rPr>
        <w:t>QMS-P-001_문서관리절차서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