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CMS-P-002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Rev.0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준법 리스크 평가 절차서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37301:2021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</w:t>
      </w:r>
    </w:p>
    <w:p>
      <w:pPr>
        <w:spacing w:after="80"/>
        <w:ind w:left="0"/>
      </w:pPr>
      <w:r>
        <w:rPr>
          <w:sz w:val="20"/>
        </w:rPr>
        <w:t>준법 위반 위험을 체계적으로 식별·평가·관리</w:t>
      </w:r>
    </w:p>
    <w:p>
      <w:pPr>
        <w:pStyle w:val="Heading1"/>
      </w:pPr>
      <w:r>
        <w:rPr>
          <w:b/>
          <w:color w:val="1F3864"/>
          <w:sz w:val="24"/>
        </w:rPr>
        <w:t>2. 적용범위</w:t>
      </w:r>
    </w:p>
    <w:p>
      <w:pPr>
        <w:spacing w:after="80"/>
        <w:ind w:left="0"/>
      </w:pPr>
      <w:r>
        <w:rPr>
          <w:sz w:val="20"/>
        </w:rPr>
        <w:t>전사 모든 업무 프로세스</w:t>
      </w:r>
    </w:p>
    <w:p>
      <w:pPr>
        <w:pStyle w:val="Heading1"/>
      </w:pPr>
      <w:r>
        <w:rPr>
          <w:b/>
          <w:color w:val="1F3864"/>
          <w:sz w:val="24"/>
        </w:rPr>
        <w:t>3. 용어 및 정의</w:t>
      </w:r>
    </w:p>
    <w:p>
      <w:pPr>
        <w:pStyle w:val="ListBullet"/>
        <w:ind w:left="283"/>
      </w:pPr>
      <w:r>
        <w:rPr>
          <w:sz w:val="20"/>
        </w:rPr>
        <w:t>준법리스크(Compliance Risk)</w:t>
      </w:r>
    </w:p>
    <w:p>
      <w:pPr>
        <w:pStyle w:val="ListBullet"/>
        <w:ind w:left="283"/>
      </w:pPr>
      <w:r>
        <w:rPr>
          <w:sz w:val="20"/>
        </w:rPr>
        <w:t>CP등급(Compliance Program Grade)</w:t>
      </w:r>
    </w:p>
    <w:p>
      <w:pPr>
        <w:pStyle w:val="ListBullet"/>
        <w:ind w:left="283"/>
      </w:pPr>
      <w:r>
        <w:rPr>
          <w:sz w:val="20"/>
        </w:rPr>
        <w:t>잔여리스크(Residual Risk)</w:t>
      </w:r>
    </w:p>
    <w:p>
      <w:pPr>
        <w:pStyle w:val="Heading1"/>
      </w:pPr>
      <w:r>
        <w:rPr>
          <w:b/>
          <w:color w:val="1F3864"/>
          <w:sz w:val="24"/>
        </w:rPr>
        <w:t>4. 책임과 권한</w:t>
      </w:r>
    </w:p>
    <w:p>
      <w:pPr>
        <w:pStyle w:val="ListBullet"/>
        <w:ind w:left="283"/>
      </w:pPr>
      <w:r>
        <w:rPr>
          <w:sz w:val="20"/>
        </w:rPr>
        <w:t>준법관리자: 리스크 평가 주관</w:t>
      </w:r>
    </w:p>
    <w:p>
      <w:pPr>
        <w:pStyle w:val="ListBullet"/>
        <w:ind w:left="283"/>
      </w:pPr>
      <w:r>
        <w:rPr>
          <w:sz w:val="20"/>
        </w:rPr>
        <w:t>부서장: 부서별 리스크 제공</w:t>
      </w:r>
    </w:p>
    <w:p>
      <w:pPr>
        <w:pStyle w:val="ListBullet"/>
        <w:ind w:left="283"/>
      </w:pPr>
      <w:r>
        <w:rPr>
          <w:sz w:val="20"/>
        </w:rPr>
        <w:t>대표이사: 고위험 리스크 최종 승인</w:t>
      </w:r>
    </w:p>
    <w:p>
      <w:pPr>
        <w:pStyle w:val="Heading1"/>
      </w:pPr>
      <w:r>
        <w:rPr>
          <w:b/>
          <w:color w:val="1F3864"/>
          <w:sz w:val="24"/>
        </w:rPr>
        <w:t>5. 절차내용</w:t>
      </w:r>
    </w:p>
    <w:p>
      <w:pPr>
        <w:spacing w:after="80"/>
        <w:ind w:left="0"/>
      </w:pPr>
      <w:r>
        <w:rPr>
          <w:sz w:val="20"/>
        </w:rPr>
        <w:t>리스크 식별 → 가능성·영향도 평가(5×5 매트릭스) → CP등급 산출 → 대응방안 수립 → 모니터링</w:t>
      </w:r>
    </w:p>
    <w:p>
      <w:pPr>
        <w:pStyle w:val="Heading1"/>
      </w:pPr>
      <w:r>
        <w:rPr>
          <w:b/>
          <w:color w:val="1F3864"/>
          <w:sz w:val="24"/>
        </w:rPr>
        <w:t>6. 관련기록</w:t>
      </w:r>
    </w:p>
    <w:p>
      <w:pPr>
        <w:pStyle w:val="ListBullet"/>
        <w:ind w:left="283"/>
      </w:pPr>
      <w:r>
        <w:rPr>
          <w:sz w:val="20"/>
        </w:rPr>
        <w:t>CMS-F-003_준법리스크평가표</w:t>
      </w:r>
    </w:p>
    <w:p>
      <w:pPr>
        <w:pStyle w:val="ListBullet"/>
        <w:ind w:left="283"/>
      </w:pPr>
      <w:r>
        <w:rPr>
          <w:sz w:val="20"/>
        </w:rPr>
        <w:t>CMS-F-004_CP등급평가표</w:t>
      </w:r>
    </w:p>
    <w:p>
      <w:pPr>
        <w:pStyle w:val="Heading1"/>
      </w:pPr>
      <w:r>
        <w:rPr>
          <w:b/>
          <w:color w:val="1F3864"/>
          <w:sz w:val="24"/>
        </w:rPr>
        <w:t>7. 관련문서</w:t>
      </w:r>
    </w:p>
    <w:p>
      <w:pPr>
        <w:pStyle w:val="ListBullet"/>
        <w:ind w:left="283"/>
      </w:pPr>
      <w:r>
        <w:rPr>
          <w:sz w:val="20"/>
        </w:rPr>
        <w:t>CMS-P-001</w:t>
      </w:r>
    </w:p>
    <w:p>
      <w:pPr>
        <w:pStyle w:val="ListBullet"/>
        <w:ind w:left="283"/>
      </w:pPr>
      <w:r>
        <w:rPr>
          <w:sz w:val="20"/>
        </w:rPr>
        <w:t>CMS-P-003</w:t>
      </w:r>
    </w:p>
    <w:sectPr w:rsidR="00FC693F" w:rsidRPr="0006063C" w:rsidSect="00034616">
      <w:head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87286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286" cy="396000"/>
                  </a:xfrm>
                  <a:prstGeom prst="rect"/>
                </pic:spPr>
              </pic:pic>
            </a:graphicData>
          </a:graphic>
        </wp:inline>
      </w:drawing>
    </w:r>
    <w:r>
      <w:tab/>
      <w:tab/>
    </w:r>
    <w:r>
      <w:rPr>
        <w:b/>
        <w:color w:val="1F3864"/>
        <w:sz w:val="16"/>
      </w:rPr>
      <w:t>(주)한영피엔에스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