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준법교육 및 인식 제고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임직원 준법 역량 강화 및 윤리문화 조성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임직원(임시직·파견직 포함)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필수교육(Mandatory Training)</w:t>
      </w:r>
    </w:p>
    <w:p>
      <w:pPr>
        <w:pStyle w:val="ListBullet"/>
        <w:ind w:left="283"/>
      </w:pPr>
      <w:r>
        <w:rPr>
          <w:sz w:val="20"/>
        </w:rPr>
        <w:t>교육이수율(Training Completion Rate)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인사부: 교육 계획 수립 및 실시</w:t>
      </w:r>
    </w:p>
    <w:p>
      <w:pPr>
        <w:pStyle w:val="ListBullet"/>
        <w:ind w:left="283"/>
      </w:pPr>
      <w:r>
        <w:rPr>
          <w:sz w:val="20"/>
        </w:rPr>
        <w:t>준법관리자: 교육 내용 검토</w:t>
      </w:r>
    </w:p>
    <w:p>
      <w:pPr>
        <w:pStyle w:val="ListBullet"/>
        <w:ind w:left="283"/>
      </w:pPr>
      <w:r>
        <w:rPr>
          <w:sz w:val="20"/>
        </w:rPr>
        <w:t>부서장: 소속 직원 교육 참여 독려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연간 교육 계획 수립 → 교육 실시 → 이수 확인 → 미이수자 보충 교육 → 기록 보관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CMS-F-007_교육훈련이력카드</w:t>
      </w:r>
    </w:p>
    <w:p>
      <w:pPr>
        <w:pStyle w:val="ListBullet"/>
        <w:ind w:left="283"/>
      </w:pPr>
      <w:r>
        <w:rPr>
          <w:sz w:val="20"/>
        </w:rPr>
        <w:t>CMS-F-008_교육이수확인서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CMS-P-001</w:t>
      </w:r>
    </w:p>
    <w:p>
      <w:pPr>
        <w:pStyle w:val="ListBullet"/>
        <w:ind w:left="283"/>
      </w:pPr>
      <w:r>
        <w:rPr>
          <w:sz w:val="20"/>
        </w:rPr>
        <w:t>QMS-P-011_교육훈련관리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