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CMS-P-005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개인정보보호 준법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37301:2021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개인정보보호법 준수 및 개인정보 침해 방지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개인정보 처리 관련 모든 업무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개인정보(Personal Information)</w:t>
      </w:r>
    </w:p>
    <w:p>
      <w:pPr>
        <w:pStyle w:val="ListBullet"/>
        <w:ind w:left="283"/>
      </w:pPr>
      <w:r>
        <w:rPr>
          <w:sz w:val="20"/>
        </w:rPr>
        <w:t>개인정보처리자(Personal Information Processor)</w:t>
      </w:r>
    </w:p>
    <w:p>
      <w:pPr>
        <w:pStyle w:val="ListBullet"/>
        <w:ind w:left="283"/>
      </w:pPr>
      <w:r>
        <w:rPr>
          <w:sz w:val="20"/>
        </w:rPr>
        <w:t>정보주체(Data Subject)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개인정보보호책임자(CPO): 개인정보 처리 총괄</w:t>
      </w:r>
    </w:p>
    <w:p>
      <w:pPr>
        <w:pStyle w:val="ListBullet"/>
        <w:ind w:left="283"/>
      </w:pPr>
      <w:r>
        <w:rPr>
          <w:sz w:val="20"/>
        </w:rPr>
        <w:t>각 부서장: 소관 개인정보 관리</w:t>
      </w:r>
    </w:p>
    <w:p>
      <w:pPr>
        <w:pStyle w:val="ListBullet"/>
        <w:ind w:left="283"/>
      </w:pPr>
      <w:r>
        <w:rPr>
          <w:sz w:val="20"/>
        </w:rPr>
        <w:t>IT담당자: 시스템 보안 조치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개인정보 현황 파악 → 처리방침 수립 → 동의서 관리 → 보안조치 → 정기 감사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CMS-F-009_개인정보처리현황</w:t>
      </w:r>
    </w:p>
    <w:p>
      <w:pPr>
        <w:pStyle w:val="ListBullet"/>
        <w:ind w:left="283"/>
      </w:pPr>
      <w:r>
        <w:rPr>
          <w:sz w:val="20"/>
        </w:rPr>
        <w:t>CMS-F-010_동의서양식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ISP-003_접근통제절차서</w:t>
      </w:r>
    </w:p>
    <w:p>
      <w:pPr>
        <w:pStyle w:val="ListBullet"/>
        <w:ind w:left="283"/>
      </w:pPr>
      <w:r>
        <w:rPr>
          <w:sz w:val="20"/>
        </w:rPr>
        <w:t>CMS-P-001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