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3864"/>
          <w:sz w:val="40"/>
        </w:rPr>
        <w:t>(주)한영피엔에스</w:t>
      </w:r>
    </w:p>
    <w:p>
      <w:pPr>
        <w:jc w:val="center"/>
      </w:pPr>
      <w:r>
        <w:rPr>
          <w:b/>
          <w:color w:val="1F3864"/>
          <w:sz w:val="52"/>
        </w:rPr>
        <w:t>안전보건경영시스템 매뉴얼</w:t>
      </w:r>
    </w:p>
    <w:p>
      <w:pPr>
        <w:jc w:val="center"/>
      </w:pPr>
      <w:r>
        <w:rPr>
          <w:b w:val="0"/>
          <w:color w:val="1F3864"/>
          <w:sz w:val="24"/>
        </w:rPr>
        <w:t>Occupational Health &amp; Safety Management System</w:t>
      </w:r>
    </w:p>
    <w:p>
      <w:pPr>
        <w:jc w:val="center"/>
      </w:pPr>
      <w:r>
        <w:rPr>
          <w:b/>
          <w:color w:val="1F3864"/>
          <w:sz w:val="28"/>
        </w:rPr>
        <w:t>ISO 45001:2018</w:t>
      </w:r>
    </w:p>
    <w:p>
      <w:pPr>
        <w:jc w:val="center"/>
      </w:pPr>
      <w:r>
        <w:rPr>
          <w:b w:val="0"/>
          <w:color w:val="C00000"/>
          <w:sz w:val="24"/>
        </w:rPr>
        <w:t>중대재해처벌법 의무사항 연동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C00000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  <w:tc>
          <w:tcPr>
            <w:tcW w:type="dxa" w:w="4561"/>
          </w:tcPr>
          <w:p>
            <w:r>
              <w:t>OH-M-001</w:t>
            </w:r>
          </w:p>
        </w:tc>
      </w:tr>
      <w:tr>
        <w:tc>
          <w:tcPr>
            <w:tcW w:type="dxa" w:w="4561"/>
            <w:shd w:val="clear" w:color="auto" w:fill="C00000"/>
          </w:tcPr>
          <w:p>
            <w:r>
              <w:rPr>
                <w:b/>
                <w:color w:val="FFFFFF"/>
              </w:rPr>
              <w:t>개정번호</w:t>
            </w:r>
          </w:p>
        </w:tc>
        <w:tc>
          <w:tcPr>
            <w:tcW w:type="dxa" w:w="4561"/>
          </w:tcPr>
          <w:p>
            <w:r>
              <w:t>Rev.0</w:t>
            </w:r>
          </w:p>
        </w:tc>
      </w:tr>
      <w:tr>
        <w:tc>
          <w:tcPr>
            <w:tcW w:type="dxa" w:w="4561"/>
            <w:shd w:val="clear" w:color="auto" w:fill="C00000"/>
          </w:tcPr>
          <w:p>
            <w:r>
              <w:rPr>
                <w:b/>
                <w:color w:val="FFFFFF"/>
              </w:rPr>
              <w:t>적용규격</w:t>
            </w:r>
          </w:p>
        </w:tc>
        <w:tc>
          <w:tcPr>
            <w:tcW w:type="dxa" w:w="4561"/>
          </w:tcPr>
          <w:p>
            <w:r>
              <w:t>ISO 45001:2018</w:t>
            </w:r>
          </w:p>
        </w:tc>
      </w:tr>
      <w:tr>
        <w:tc>
          <w:tcPr>
            <w:tcW w:type="dxa" w:w="4561"/>
            <w:shd w:val="clear" w:color="auto" w:fill="C00000"/>
          </w:tcPr>
          <w:p>
            <w:r>
              <w:rPr>
                <w:b/>
                <w:color w:val="FFFFFF"/>
              </w:rPr>
              <w:t>작성일</w:t>
            </w:r>
          </w:p>
        </w:tc>
        <w:tc>
          <w:tcPr>
            <w:tcW w:type="dxa" w:w="4561"/>
          </w:tcPr>
          <w:p>
            <w:r>
              <w:t>2026-03-06</w:t>
            </w:r>
          </w:p>
        </w:tc>
      </w:tr>
      <w:tr>
        <w:tc>
          <w:tcPr>
            <w:tcW w:type="dxa" w:w="4561"/>
            <w:shd w:val="clear" w:color="auto" w:fill="C00000"/>
          </w:tcPr>
          <w:p>
            <w:r>
              <w:rPr>
                <w:b/>
                <w:color w:val="FFFFFF"/>
              </w:rPr>
              <w:t>작성부서</w:t>
            </w:r>
          </w:p>
        </w:tc>
        <w:tc>
          <w:tcPr>
            <w:tcW w:type="dxa" w:w="4561"/>
          </w:tcPr>
          <w:p>
            <w:r>
              <w:t>안전보건팀</w:t>
            </w:r>
          </w:p>
        </w:tc>
      </w:tr>
      <w:tr>
        <w:tc>
          <w:tcPr>
            <w:tcW w:type="dxa" w:w="4561"/>
            <w:shd w:val="clear" w:color="auto" w:fill="C00000"/>
          </w:tcPr>
          <w:p>
            <w:r>
              <w:rPr>
                <w:b/>
                <w:color w:val="FFFFFF"/>
              </w:rPr>
              <w:t>검토자</w:t>
            </w:r>
          </w:p>
        </w:tc>
        <w:tc>
          <w:tcPr>
            <w:tcW w:type="dxa" w:w="4561"/>
          </w:tcPr>
          <w:p>
            <w:r>
              <w:t>기술연구소장</w:t>
            </w:r>
          </w:p>
        </w:tc>
      </w:tr>
      <w:tr>
        <w:tc>
          <w:tcPr>
            <w:tcW w:type="dxa" w:w="4561"/>
            <w:shd w:val="clear" w:color="auto" w:fill="C00000"/>
          </w:tcPr>
          <w:p>
            <w:r>
              <w:rPr>
                <w:b/>
                <w:color w:val="FFFFFF"/>
              </w:rPr>
              <w:t>승인자</w:t>
            </w:r>
          </w:p>
        </w:tc>
        <w:tc>
          <w:tcPr>
            <w:tcW w:type="dxa" w:w="4561"/>
          </w:tcPr>
          <w:p>
            <w: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1F3864"/>
          <w:sz w:val="24"/>
        </w:rPr>
        <w:t>안전보건방침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CE4D6"/>
          </w:tcPr>
          <w:p>
            <w:pPr>
              <w:jc w:val="center"/>
            </w:pPr>
            <w:r>
              <w:rPr>
                <w:b/>
                <w:color w:val="C00000"/>
                <w:sz w:val="26"/>
              </w:rPr>
              <w:t>【 안전보건방침 】</w:t>
              <w:br/>
            </w:r>
            <w:r>
              <w:rPr>
                <w:sz w:val="22"/>
              </w:rPr>
              <w:t>(주)한영피엔에스는 모든 임직원의 안전과 건강을 최우선 가치로 삼아,</w:t>
              <w:br/>
              <w:t>안전하고 건강한 근무환경을 구축하기 위해 지속적으로 노력하며,</w:t>
              <w:br/>
              <w:t>관련 법규를 철저히 준수하고, 위험요인을 사전에 파악·제거하여</w:t>
              <w:br/>
              <w:t>무재해 사업장 실현을 위해 모든 자원을 투입한다.</w:t>
            </w:r>
          </w:p>
          <w:p>
            <w:pPr>
              <w:jc w:val="right"/>
            </w:pPr>
            <w:r>
              <w:rPr>
                <w:sz w:val="20"/>
              </w:rPr>
              <w:br/>
              <w:t>대표이사  김윤섭  2026-03-06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1F3864"/>
          <w:sz w:val="24"/>
        </w:rPr>
        <w:t>중대재해처벌법 의무사항 연동 (시행령 제4조)</w:t>
      </w:r>
    </w:p>
    <w:p>
      <w:pPr>
        <w:spacing w:after="80"/>
        <w:ind w:left="0"/>
      </w:pPr>
      <w:r>
        <w:rPr>
          <w:sz w:val="20"/>
        </w:rPr>
        <w:t>중대재해처벌법 시행령 제4조(안전보건관리체계 구축) 8개 항목을 ISO 45001 요구사항과 연동하여 이행한다.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의무항목</w:t>
            </w:r>
          </w:p>
        </w:tc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요구내용</w:t>
            </w:r>
          </w:p>
        </w:tc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ISO 45001 연계</w:t>
            </w:r>
          </w:p>
        </w:tc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이행현황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① 안전보건 목표 및 경영방침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안전보건방침 수립·이행 확인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5.2, 6.2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이행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② 안전보건 담당자 지정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안전보건 담당자 배치 및 권한 부여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5.3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이행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③ 위험요인 파악·제거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위험성평가 연 1회 이상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6.1.2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이행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④ 안전보건 예산 편성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안전관련 예산 집행 기록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7.1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이행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⑤ 안전보건 전담인력 배치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안전보건관리자 선임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5.3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이행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⑥ 안전보건 법규 준수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법규 등록 및 준수 평가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6.1.3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이행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⑦ 도급·용역 안전관리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하도급 안전보건 관리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8.1.4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이행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⑧ 이행 점검 및 보완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내부심사 및 경영검토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9.2, 9.3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이행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1F3864"/>
          <w:sz w:val="24"/>
        </w:rPr>
        <w:t>조직상황 (4조)</w:t>
      </w:r>
    </w:p>
    <w:p>
      <w:pPr>
        <w:pStyle w:val="Heading2"/>
      </w:pPr>
      <w:r>
        <w:rPr>
          <w:b/>
          <w:color w:val="2E75B6"/>
          <w:sz w:val="22"/>
        </w:rPr>
        <w:t>4.1 조직상황 이해</w:t>
      </w:r>
    </w:p>
    <w:p>
      <w:pPr>
        <w:spacing w:after="80"/>
        <w:ind w:left="0"/>
      </w:pPr>
      <w:r>
        <w:rPr>
          <w:sz w:val="20"/>
        </w:rPr>
        <w:t>산업안전보건법, 중대재해처벌법 등 안전 관련 법규 및 규제를 포함한 내·외부 이슈를 파악한다.</w:t>
      </w:r>
    </w:p>
    <w:p>
      <w:pPr>
        <w:pStyle w:val="Heading2"/>
      </w:pPr>
      <w:r>
        <w:rPr>
          <w:b/>
          <w:color w:val="2E75B6"/>
          <w:sz w:val="22"/>
        </w:rPr>
        <w:t>4.2 이해관계자</w:t>
      </w:r>
    </w:p>
    <w:p>
      <w:pPr>
        <w:spacing w:after="80"/>
        <w:ind w:left="0"/>
      </w:pPr>
      <w:r>
        <w:rPr>
          <w:sz w:val="20"/>
        </w:rPr>
        <w:t>임직원, 협력업체, 규제기관, 지역사회의 안전보건 요구사항을 파악한다.</w:t>
      </w:r>
    </w:p>
    <w:p>
      <w:r>
        <w:br w:type="page"/>
      </w:r>
    </w:p>
    <w:p>
      <w:pPr>
        <w:pStyle w:val="Heading1"/>
      </w:pPr>
      <w:r>
        <w:rPr>
          <w:b/>
          <w:color w:val="1F3864"/>
          <w:sz w:val="24"/>
        </w:rPr>
        <w:t>리더십 (5조)</w:t>
      </w:r>
    </w:p>
    <w:p>
      <w:pPr>
        <w:pStyle w:val="Heading2"/>
      </w:pPr>
      <w:r>
        <w:rPr>
          <w:b/>
          <w:color w:val="2E75B6"/>
          <w:sz w:val="22"/>
        </w:rPr>
        <w:t>5.1 최고경영자 의지표명</w:t>
      </w:r>
    </w:p>
    <w:p>
      <w:pPr>
        <w:spacing w:after="80"/>
        <w:ind w:left="0"/>
      </w:pPr>
      <w:r>
        <w:rPr>
          <w:sz w:val="20"/>
        </w:rPr>
        <w:t>안전보건방침 수립, 자원 제공, 근로자 참여·협의 보장</w:t>
      </w:r>
    </w:p>
    <w:p>
      <w:pPr>
        <w:pStyle w:val="Heading2"/>
      </w:pPr>
      <w:r>
        <w:rPr>
          <w:b/>
          <w:color w:val="2E75B6"/>
          <w:sz w:val="22"/>
        </w:rPr>
        <w:t>5.4 근로자 참여 및 협의</w:t>
      </w:r>
    </w:p>
    <w:p>
      <w:pPr>
        <w:spacing w:after="80"/>
        <w:ind w:left="0"/>
      </w:pPr>
      <w:r>
        <w:rPr>
          <w:sz w:val="20"/>
        </w:rPr>
        <w:t>안전보건위원회 운영, 근로자 의견 반영 절차 수립</w:t>
      </w:r>
    </w:p>
    <w:p>
      <w:r>
        <w:br w:type="page"/>
      </w:r>
    </w:p>
    <w:p>
      <w:pPr>
        <w:pStyle w:val="Heading1"/>
      </w:pPr>
      <w:r>
        <w:rPr>
          <w:b/>
          <w:color w:val="1F3864"/>
          <w:sz w:val="24"/>
        </w:rPr>
        <w:t>기획 (6조)</w:t>
      </w:r>
    </w:p>
    <w:p>
      <w:pPr>
        <w:pStyle w:val="Heading2"/>
      </w:pPr>
      <w:r>
        <w:rPr>
          <w:b/>
          <w:color w:val="2E75B6"/>
          <w:sz w:val="22"/>
        </w:rPr>
        <w:t>6.1.2 위험요인 파악 및 위험성평가</w:t>
      </w:r>
    </w:p>
    <w:p>
      <w:pPr>
        <w:spacing w:after="80"/>
        <w:ind w:left="0"/>
      </w:pPr>
      <w:r>
        <w:rPr>
          <w:sz w:val="20"/>
        </w:rPr>
        <w:t>위험성평가 고시 기준에 따라 작업단위별 위험성평가 실시 (연 1회 + 수시)</w:t>
      </w:r>
    </w:p>
    <w:p>
      <w:pPr>
        <w:pStyle w:val="Heading2"/>
      </w:pPr>
      <w:r>
        <w:rPr>
          <w:b/>
          <w:color w:val="2E75B6"/>
          <w:sz w:val="22"/>
        </w:rPr>
        <w:t>6.2 안전보건목표</w:t>
      </w:r>
    </w:p>
    <w:p>
      <w:pPr>
        <w:spacing w:after="80"/>
        <w:ind w:left="0"/>
      </w:pPr>
      <w:r>
        <w:rPr>
          <w:sz w:val="20"/>
        </w:rPr>
        <w:t>무재해 목표, 아차사고 감소 목표, 안전교육 이수율 100% 등 목표 수립</w:t>
      </w:r>
    </w:p>
    <w:p>
      <w:r>
        <w:br w:type="page"/>
      </w:r>
    </w:p>
    <w:p>
      <w:pPr>
        <w:pStyle w:val="Heading1"/>
      </w:pPr>
      <w:r>
        <w:rPr>
          <w:b/>
          <w:color w:val="1F3864"/>
          <w:sz w:val="24"/>
        </w:rPr>
        <w:t>운용 (8조)</w:t>
      </w:r>
    </w:p>
    <w:p>
      <w:pPr>
        <w:pStyle w:val="Heading2"/>
      </w:pPr>
      <w:r>
        <w:rPr>
          <w:b/>
          <w:color w:val="2E75B6"/>
          <w:sz w:val="22"/>
        </w:rPr>
        <w:t>8.1.3 변경관리</w:t>
      </w:r>
    </w:p>
    <w:p>
      <w:pPr>
        <w:spacing w:after="80"/>
        <w:ind w:left="0"/>
      </w:pPr>
      <w:r>
        <w:rPr>
          <w:sz w:val="20"/>
        </w:rPr>
        <w:t>설비·공정·조직 변경 시 위험성 재평가 실시</w:t>
      </w:r>
    </w:p>
    <w:p>
      <w:pPr>
        <w:pStyle w:val="Heading2"/>
      </w:pPr>
      <w:r>
        <w:rPr>
          <w:b/>
          <w:color w:val="2E75B6"/>
          <w:sz w:val="22"/>
        </w:rPr>
        <w:t>8.1.4 도급·용역 관리</w:t>
      </w:r>
    </w:p>
    <w:p>
      <w:pPr>
        <w:spacing w:after="80"/>
        <w:ind w:left="0"/>
      </w:pPr>
      <w:r>
        <w:rPr>
          <w:sz w:val="20"/>
        </w:rPr>
        <w:t>협력업체 안전보건 역량 평가 및 현장 안전관리</w:t>
      </w:r>
    </w:p>
    <w:p>
      <w:pPr>
        <w:pStyle w:val="Heading2"/>
      </w:pPr>
      <w:r>
        <w:rPr>
          <w:b/>
          <w:color w:val="2E75B6"/>
          <w:sz w:val="22"/>
        </w:rPr>
        <w:t>8.2 비상사태 대비</w:t>
      </w:r>
    </w:p>
    <w:p>
      <w:pPr>
        <w:spacing w:after="80"/>
        <w:ind w:left="0"/>
      </w:pPr>
      <w:r>
        <w:rPr>
          <w:sz w:val="20"/>
        </w:rPr>
        <w:t>대피 훈련, 응급처치 훈련 연 2회 실시</w:t>
      </w:r>
    </w:p>
    <w:p>
      <w:r>
        <w:br w:type="page"/>
      </w:r>
    </w:p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87286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286" cy="396000"/>
                  </a:xfrm>
                  <a:prstGeom prst="rect"/>
                </pic:spPr>
              </pic:pic>
            </a:graphicData>
          </a:graphic>
        </wp:inline>
      </w:drawing>
    </w:r>
    <w:r>
      <w:tab/>
      <w:tab/>
    </w:r>
    <w:r>
      <w:rPr>
        <w:b/>
        <w:color w:val="1F3864"/>
        <w:sz w:val="16"/>
      </w:rPr>
      <w:t>(주)한영피엔에스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