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내부심사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9.2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OH&amp;SMS가 ISO 45001 요구사항에 적합하게 수립·실행·유지되고 있는지 평가한다.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OH&amp;SMS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연간 내부심사 계획 수립</w:t>
      </w:r>
    </w:p>
    <w:p>
      <w:pPr>
        <w:pStyle w:val="ListBullet"/>
        <w:ind w:left="283"/>
      </w:pPr>
      <w:r>
        <w:rPr>
          <w:sz w:val="20"/>
        </w:rPr>
        <w:t>2) 심사원: ISO 45001 내부심사원 자격, 심사 대상과 독립</w:t>
      </w:r>
    </w:p>
    <w:p>
      <w:pPr>
        <w:pStyle w:val="ListBullet"/>
        <w:ind w:left="283"/>
      </w:pPr>
      <w:r>
        <w:rPr>
          <w:sz w:val="20"/>
        </w:rPr>
        <w:t>3) 체크리스트(OH-F-021) 기반 증거 심사</w:t>
      </w:r>
    </w:p>
    <w:p>
      <w:pPr>
        <w:pStyle w:val="ListBullet"/>
        <w:ind w:left="283"/>
      </w:pPr>
      <w:r>
        <w:rPr>
          <w:sz w:val="20"/>
        </w:rPr>
        <w:t>4) 심사 보고서 작성·배포 (7일 이내)</w:t>
      </w:r>
    </w:p>
    <w:p>
      <w:pPr>
        <w:pStyle w:val="ListBullet"/>
        <w:ind w:left="283"/>
      </w:pPr>
      <w:r>
        <w:rPr>
          <w:sz w:val="20"/>
        </w:rPr>
        <w:t>5) 부적합 시정조치 연계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OH-F-021 내부심사 체크리스트(45001 조항별)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p>
      <w:pPr>
        <w:pStyle w:val="ListBullet"/>
        <w:ind w:left="283"/>
      </w:pPr>
      <w:r>
        <w:rPr>
          <w:sz w:val="20"/>
        </w:rPr>
        <w:t>OH-P-006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