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 교육훈련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7.2, 7.3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임직원의 안전보건 역량을 확보하고 위험에 대한 인식을 높인다.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임직원, 협력업체, 도급 근로자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법정 안전보건교육: 정기교육(월 2h), 채용 시(8h), 특별교육(16h)</w:t>
      </w:r>
    </w:p>
    <w:p>
      <w:pPr>
        <w:pStyle w:val="ListBullet"/>
        <w:ind w:left="283"/>
      </w:pPr>
      <w:r>
        <w:rPr>
          <w:sz w:val="20"/>
        </w:rPr>
        <w:t>2) 연간 안전교육 계획 수립 및 이행</w:t>
      </w:r>
    </w:p>
    <w:p>
      <w:pPr>
        <w:pStyle w:val="ListBullet"/>
        <w:ind w:left="283"/>
      </w:pPr>
      <w:r>
        <w:rPr>
          <w:sz w:val="20"/>
        </w:rPr>
        <w:t>3) 특수 작업자: 해당 작업 전 특별 안전교육</w:t>
      </w:r>
    </w:p>
    <w:p>
      <w:pPr>
        <w:pStyle w:val="ListBullet"/>
        <w:ind w:left="283"/>
      </w:pPr>
      <w:r>
        <w:rPr>
          <w:sz w:val="20"/>
        </w:rPr>
        <w:t>4) 교육 효과성 평가: 필기시험 또는 현장 관찰</w:t>
      </w:r>
    </w:p>
    <w:p>
      <w:pPr>
        <w:pStyle w:val="ListBullet"/>
        <w:ind w:left="283"/>
      </w:pPr>
      <w:r>
        <w:rPr>
          <w:sz w:val="20"/>
        </w:rPr>
        <w:t>5) 교육 미이수자 보완 교육 실시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OH-F-008 안전보건교육 계획·실적표</w:t>
      </w:r>
    </w:p>
    <w:p>
      <w:pPr>
        <w:pStyle w:val="ListBullet"/>
        <w:ind w:left="283"/>
      </w:pPr>
      <w:r>
        <w:rPr>
          <w:sz w:val="20"/>
        </w:rPr>
        <w:t>OH-F-009 안전교육 일지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