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공급자 평가 및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8.4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외부 공급자의 품질·납기·가격·서비스를 정기적으로 평가하여 구매 리스크를 관리한다.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원자재·부자재·외주가공 공급자 전체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신규 공급자: 서류심사(40%) + 현장심사(60%) → 등록 결정</w:t>
      </w:r>
    </w:p>
    <w:p>
      <w:pPr>
        <w:pStyle w:val="ListBullet"/>
        <w:ind w:left="283"/>
      </w:pPr>
      <w:r>
        <w:rPr>
          <w:sz w:val="20"/>
        </w:rPr>
        <w:t>2) 기존 공급자: 반기별 공급자 평가표(QMS-F-008) 작성</w:t>
      </w:r>
    </w:p>
    <w:p>
      <w:pPr>
        <w:pStyle w:val="ListBullet"/>
        <w:ind w:left="283"/>
      </w:pPr>
      <w:r>
        <w:rPr>
          <w:sz w:val="20"/>
        </w:rPr>
        <w:t>3) 평가항목: 품질(40%), 납기(25%), 가격(20%), 협력도(15%)</w:t>
      </w:r>
    </w:p>
    <w:p>
      <w:pPr>
        <w:pStyle w:val="ListBullet"/>
        <w:ind w:left="283"/>
      </w:pPr>
      <w:r>
        <w:rPr>
          <w:sz w:val="20"/>
        </w:rPr>
        <w:t>4) 평가 결과: A급(90↑) 우수, B급(75~89) 관리, C급(74↓) 개선요구</w:t>
      </w:r>
    </w:p>
    <w:p>
      <w:pPr>
        <w:pStyle w:val="ListBullet"/>
        <w:ind w:left="283"/>
      </w:pPr>
      <w:r>
        <w:rPr>
          <w:sz w:val="20"/>
        </w:rPr>
        <w:t>5) C급 2회 연속 시 거래정지 검토</w:t>
      </w:r>
    </w:p>
    <w:p>
      <w:pPr>
        <w:pStyle w:val="ListBullet"/>
        <w:ind w:left="283"/>
      </w:pPr>
      <w:r>
        <w:rPr>
          <w:sz w:val="20"/>
        </w:rPr>
        <w:t>6) 공급자 납품업체 등록카드(QMS-F-021) 최신화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QMS-F-008 공급자 평가표</w:t>
      </w:r>
    </w:p>
    <w:p>
      <w:pPr>
        <w:pStyle w:val="ListBullet"/>
        <w:ind w:left="283"/>
      </w:pPr>
      <w:r>
        <w:rPr>
          <w:sz w:val="20"/>
        </w:rPr>
        <w:t>QMS-F-021 납품업체 등록카드</w:t>
      </w:r>
    </w:p>
    <w:p>
      <w:pPr>
        <w:pStyle w:val="ListBullet"/>
        <w:ind w:left="283"/>
      </w:pPr>
      <w:r>
        <w:rPr>
          <w:sz w:val="20"/>
        </w:rPr>
        <w:t>QMS-F-022 외주가공 지시서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