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QMS-P-008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설계 및 개발 관리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9001:2015 8.3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신제품 및 기존 제품 개선을 위한 설계·개발 프로세스를 체계적으로 관리하여 요구사항을 충족하는 제품을 개발한다.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모든 신제품 설계·개발 및 기존 제품의 설계 변경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부적합: 요구사항을 충족하지 못하는 상태</w:t>
      </w:r>
    </w:p>
    <w:p>
      <w:pPr>
        <w:pStyle w:val="ListBullet"/>
        <w:ind w:left="283"/>
      </w:pPr>
      <w:r>
        <w:rPr>
          <w:sz w:val="20"/>
        </w:rPr>
        <w:t>시정조치: 부적합의 원인을 제거하기 위한 조치</w:t>
      </w:r>
    </w:p>
    <w:p>
      <w:pPr>
        <w:pStyle w:val="ListBullet"/>
        <w:ind w:left="283"/>
      </w:pPr>
      <w:r>
        <w:rPr>
          <w:sz w:val="20"/>
        </w:rPr>
        <w:t>KPI: 핵심성과지표(Key Performance Indicator)</w:t>
      </w:r>
    </w:p>
    <w:p>
      <w:pPr>
        <w:pStyle w:val="ListBullet"/>
        <w:ind w:left="283"/>
      </w:pPr>
      <w:r>
        <w:rPr>
          <w:sz w:val="20"/>
        </w:rPr>
        <w:t>RACI: 책임(R), 승인(A), 협의(C), 정보(I)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최종 승인 권한</w:t>
      </w:r>
    </w:p>
    <w:p>
      <w:pPr>
        <w:pStyle w:val="ListBullet"/>
        <w:ind w:left="283"/>
      </w:pPr>
      <w:r>
        <w:rPr>
          <w:sz w:val="20"/>
        </w:rPr>
        <w:t>기술연구소장: 절차 실행 책임, 이행 감독</w:t>
      </w:r>
    </w:p>
    <w:p>
      <w:pPr>
        <w:pStyle w:val="ListBullet"/>
        <w:ind w:left="283"/>
      </w:pPr>
      <w:r>
        <w:rPr>
          <w:sz w:val="20"/>
        </w:rPr>
        <w:t>각 부서 팀장: 해당 절차 이행, 기록 유지</w:t>
      </w:r>
    </w:p>
    <w:p>
      <w:pPr>
        <w:pStyle w:val="ListBullet"/>
        <w:ind w:left="283"/>
      </w:pPr>
      <w:r>
        <w:rPr>
          <w:sz w:val="20"/>
        </w:rPr>
        <w:t>담당자: 일상적 절차 실행 및 기록 작성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설계기획: 단계·일정·자원·책임 결정</w:t>
      </w:r>
    </w:p>
    <w:p>
      <w:pPr>
        <w:pStyle w:val="ListBullet"/>
        <w:ind w:left="283"/>
      </w:pPr>
      <w:r>
        <w:rPr>
          <w:sz w:val="20"/>
        </w:rPr>
        <w:t>2) 설계입력: 고객요구사항, 법규·표준, 이전 유사 설계 정보</w:t>
      </w:r>
    </w:p>
    <w:p>
      <w:pPr>
        <w:pStyle w:val="ListBullet"/>
        <w:ind w:left="283"/>
      </w:pPr>
      <w:r>
        <w:rPr>
          <w:sz w:val="20"/>
        </w:rPr>
        <w:t>3) 설계통제: 단계별 검토(DR1~DR3), 중간 승인</w:t>
      </w:r>
    </w:p>
    <w:p>
      <w:pPr>
        <w:pStyle w:val="ListBullet"/>
        <w:ind w:left="283"/>
      </w:pPr>
      <w:r>
        <w:rPr>
          <w:sz w:val="20"/>
        </w:rPr>
        <w:t>4) 설계출력: 도면, BOM, 작업표준, 검사기준 문서화</w:t>
      </w:r>
    </w:p>
    <w:p>
      <w:pPr>
        <w:pStyle w:val="ListBullet"/>
        <w:ind w:left="283"/>
      </w:pPr>
      <w:r>
        <w:rPr>
          <w:sz w:val="20"/>
        </w:rPr>
        <w:t>5) 설계검증: 시험성적서, 한계치 시험으로 입력 대비 충족 확인</w:t>
      </w:r>
    </w:p>
    <w:p>
      <w:pPr>
        <w:pStyle w:val="ListBullet"/>
        <w:ind w:left="283"/>
      </w:pPr>
      <w:r>
        <w:rPr>
          <w:sz w:val="20"/>
        </w:rPr>
        <w:t>6) 설계유효성 확인: 고객 양산 승인(PPAP) 취득</w:t>
      </w:r>
    </w:p>
    <w:p>
      <w:pPr>
        <w:pStyle w:val="ListBullet"/>
        <w:ind w:left="283"/>
      </w:pPr>
      <w:r>
        <w:rPr>
          <w:sz w:val="20"/>
        </w:rPr>
        <w:t>7) 설계변경: QMS-F-018 변경요청서 → 영향평가 → 승인 → 실행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QMS-F-018 설계 변경 요청서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QMS-M-001</w:t>
      </w:r>
    </w:p>
    <w:p>
      <w:pPr>
        <w:pStyle w:val="ListBullet"/>
        <w:ind w:left="283"/>
      </w:pPr>
      <w:r>
        <w:rPr>
          <w:sz w:val="20"/>
        </w:rPr>
        <w:t>QMS-P-001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