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QMS-P-011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교육훈련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7.2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직원의 직무 역량을 파악하고 교육훈련을 체계적으로 계획·실시·평가하여 QMS 요구사항을 충족하는 역량을 유지한다.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 직원 (정규직, 계약직, 파견직 포함)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부적합: 요구사항을 충족하지 못하는 상태</w:t>
      </w:r>
    </w:p>
    <w:p>
      <w:pPr>
        <w:pStyle w:val="ListBullet"/>
        <w:ind w:left="283"/>
      </w:pPr>
      <w:r>
        <w:rPr>
          <w:sz w:val="20"/>
        </w:rPr>
        <w:t>시정조치: 부적합의 원인을 제거하기 위한 조치</w:t>
      </w:r>
    </w:p>
    <w:p>
      <w:pPr>
        <w:pStyle w:val="ListBullet"/>
        <w:ind w:left="283"/>
      </w:pPr>
      <w:r>
        <w:rPr>
          <w:sz w:val="20"/>
        </w:rPr>
        <w:t>KPI: 핵심성과지표(Key Performance Indicator)</w:t>
      </w:r>
    </w:p>
    <w:p>
      <w:pPr>
        <w:pStyle w:val="ListBullet"/>
        <w:ind w:left="283"/>
      </w:pPr>
      <w:r>
        <w:rPr>
          <w:sz w:val="20"/>
        </w:rPr>
        <w:t>RACI: 책임(R), 승인(A), 협의(C), 정보(I)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최종 승인 권한</w:t>
      </w:r>
    </w:p>
    <w:p>
      <w:pPr>
        <w:pStyle w:val="ListBullet"/>
        <w:ind w:left="283"/>
      </w:pPr>
      <w:r>
        <w:rPr>
          <w:sz w:val="20"/>
        </w:rPr>
        <w:t>기술연구소장: 절차 실행 책임, 이행 감독</w:t>
      </w:r>
    </w:p>
    <w:p>
      <w:pPr>
        <w:pStyle w:val="ListBullet"/>
        <w:ind w:left="283"/>
      </w:pPr>
      <w:r>
        <w:rPr>
          <w:sz w:val="20"/>
        </w:rPr>
        <w:t>각 부서 팀장: 해당 절차 이행, 기록 유지</w:t>
      </w:r>
    </w:p>
    <w:p>
      <w:pPr>
        <w:pStyle w:val="ListBullet"/>
        <w:ind w:left="283"/>
      </w:pPr>
      <w:r>
        <w:rPr>
          <w:sz w:val="20"/>
        </w:rPr>
        <w:t>담당자: 일상적 절차 실행 및 기록 작성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연간 교육훈련 계획 수립(연초, 인사팀 작성, 대표이사 승인)</w:t>
      </w:r>
    </w:p>
    <w:p>
      <w:pPr>
        <w:pStyle w:val="ListBullet"/>
        <w:ind w:left="283"/>
      </w:pPr>
      <w:r>
        <w:rPr>
          <w:sz w:val="20"/>
        </w:rPr>
        <w:t>2) 직무별 필요 역량 정의 및 역량 갭 분析</w:t>
      </w:r>
    </w:p>
    <w:p>
      <w:pPr>
        <w:pStyle w:val="ListBullet"/>
        <w:ind w:left="283"/>
      </w:pPr>
      <w:r>
        <w:rPr>
          <w:sz w:val="20"/>
        </w:rPr>
        <w:t>3) 교육 실시: 집합교육, OJT, 외부위탁교육, e-Learning</w:t>
      </w:r>
    </w:p>
    <w:p>
      <w:pPr>
        <w:pStyle w:val="ListBullet"/>
        <w:ind w:left="283"/>
      </w:pPr>
      <w:r>
        <w:rPr>
          <w:sz w:val="20"/>
        </w:rPr>
        <w:t>4) 교육 효과성 평가: 교육 후 30일 이내 테스트 또는 현장 관찰</w:t>
      </w:r>
    </w:p>
    <w:p>
      <w:pPr>
        <w:pStyle w:val="ListBullet"/>
        <w:ind w:left="283"/>
      </w:pPr>
      <w:r>
        <w:rPr>
          <w:sz w:val="20"/>
        </w:rPr>
        <w:t>5) 직무능력 평가표 갱신 및 인사 기록 반영</w:t>
      </w:r>
    </w:p>
    <w:p>
      <w:pPr>
        <w:pStyle w:val="ListBullet"/>
        <w:ind w:left="283"/>
      </w:pPr>
      <w:r>
        <w:rPr>
          <w:sz w:val="20"/>
        </w:rPr>
        <w:t>6) 미이수자 보완 교육 실시 및 추적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QMS-F-009 교육훈련 계획서</w:t>
      </w:r>
    </w:p>
    <w:p>
      <w:pPr>
        <w:pStyle w:val="ListBullet"/>
        <w:ind w:left="283"/>
      </w:pPr>
      <w:r>
        <w:rPr>
          <w:sz w:val="20"/>
        </w:rPr>
        <w:t>QMS-F-010 교육훈련 실적표</w:t>
      </w:r>
    </w:p>
    <w:p>
      <w:pPr>
        <w:pStyle w:val="ListBullet"/>
        <w:ind w:left="283"/>
      </w:pPr>
      <w:r>
        <w:rPr>
          <w:sz w:val="20"/>
        </w:rPr>
        <w:t>QMS-F-011 직무능력 평가표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QMS-M-001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