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QMS-P-012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인프라 및 환경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7.1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제품 적합성을 달성하고 유지하기 위해 필요한 인프라 및 업무 환경을 결정·제공·유지한다.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생산설비, IT 인프라, 작업환경 전반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부적합: 요구사항을 충족하지 못하는 상태</w:t>
      </w:r>
    </w:p>
    <w:p>
      <w:pPr>
        <w:pStyle w:val="ListBullet"/>
        <w:ind w:left="283"/>
      </w:pPr>
      <w:r>
        <w:rPr>
          <w:sz w:val="20"/>
        </w:rPr>
        <w:t>시정조치: 부적합의 원인을 제거하기 위한 조치</w:t>
      </w:r>
    </w:p>
    <w:p>
      <w:pPr>
        <w:pStyle w:val="ListBullet"/>
        <w:ind w:left="283"/>
      </w:pPr>
      <w:r>
        <w:rPr>
          <w:sz w:val="20"/>
        </w:rPr>
        <w:t>KPI: 핵심성과지표(Key Performance Indicator)</w:t>
      </w:r>
    </w:p>
    <w:p>
      <w:pPr>
        <w:pStyle w:val="ListBullet"/>
        <w:ind w:left="283"/>
      </w:pPr>
      <w:r>
        <w:rPr>
          <w:sz w:val="20"/>
        </w:rPr>
        <w:t>RACI: 책임(R), 승인(A), 협의(C), 정보(I)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최종 승인 권한</w:t>
      </w:r>
    </w:p>
    <w:p>
      <w:pPr>
        <w:pStyle w:val="ListBullet"/>
        <w:ind w:left="283"/>
      </w:pPr>
      <w:r>
        <w:rPr>
          <w:sz w:val="20"/>
        </w:rPr>
        <w:t>기술연구소장: 절차 실행 책임, 이행 감독</w:t>
      </w:r>
    </w:p>
    <w:p>
      <w:pPr>
        <w:pStyle w:val="ListBullet"/>
        <w:ind w:left="283"/>
      </w:pPr>
      <w:r>
        <w:rPr>
          <w:sz w:val="20"/>
        </w:rPr>
        <w:t>각 부서 팀장: 해당 절차 이행, 기록 유지</w:t>
      </w:r>
    </w:p>
    <w:p>
      <w:pPr>
        <w:pStyle w:val="ListBullet"/>
        <w:ind w:left="283"/>
      </w:pPr>
      <w:r>
        <w:rPr>
          <w:sz w:val="20"/>
        </w:rPr>
        <w:t>담당자: 일상적 절차 실행 및 기록 작성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설비 목록 등록 및 설비안전점검표(QMS-F-025) 작성</w:t>
      </w:r>
    </w:p>
    <w:p>
      <w:pPr>
        <w:pStyle w:val="ListBullet"/>
        <w:ind w:left="283"/>
      </w:pPr>
      <w:r>
        <w:rPr>
          <w:sz w:val="20"/>
        </w:rPr>
        <w:t>2) 예방보전 계획 수립(월간/분기/연간) 및 이행</w:t>
      </w:r>
    </w:p>
    <w:p>
      <w:pPr>
        <w:pStyle w:val="ListBullet"/>
        <w:ind w:left="283"/>
      </w:pPr>
      <w:r>
        <w:rPr>
          <w:sz w:val="20"/>
        </w:rPr>
        <w:t>3) 설비 고장 시: 생산중단 → 수리 → 재가동 전 검증</w:t>
      </w:r>
    </w:p>
    <w:p>
      <w:pPr>
        <w:pStyle w:val="ListBullet"/>
        <w:ind w:left="283"/>
      </w:pPr>
      <w:r>
        <w:rPr>
          <w:sz w:val="20"/>
        </w:rPr>
        <w:t>4) 작업환경: 온도·습도·조도·소음 기준 설정 및 모니터링</w:t>
      </w:r>
    </w:p>
    <w:p>
      <w:pPr>
        <w:pStyle w:val="ListBullet"/>
        <w:ind w:left="283"/>
      </w:pPr>
      <w:r>
        <w:rPr>
          <w:sz w:val="20"/>
        </w:rPr>
        <w:t>5) 청결도 및 5S 기준 유지, 월간 점검 실시</w:t>
      </w:r>
    </w:p>
    <w:p>
      <w:pPr>
        <w:pStyle w:val="ListBullet"/>
        <w:ind w:left="283"/>
      </w:pPr>
      <w:r>
        <w:rPr>
          <w:sz w:val="20"/>
        </w:rPr>
        <w:t>6) IT 인프라: 서버·네트워크 가용성 모니터링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QMS-F-025 설비점검 체크리스트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QMS-M-001</w:t>
      </w:r>
    </w:p>
    <w:p>
      <w:pPr>
        <w:pStyle w:val="ListBullet"/>
        <w:ind w:left="283"/>
      </w:pPr>
      <w:r>
        <w:rPr>
          <w:sz w:val="20"/>
        </w:rPr>
        <w:t>QMS-P-001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