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폐기물 분리수거 및 처리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폐기물 분리수거 및 처리 지침서의 세부 실행 방법과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사업장 환경 관련 업무</w:t>
      </w:r>
    </w:p>
    <w:p>
      <w:pPr>
        <w:pStyle w:val="Heading1"/>
      </w:pPr>
      <w:r>
        <w:rPr>
          <w:b/>
          <w:color w:val="1F3864"/>
          <w:sz w:val="24"/>
        </w:rPr>
        <w:t>3. 세부 지침</w:t>
      </w:r>
    </w:p>
    <w:p>
      <w:pPr>
        <w:spacing w:after="80"/>
        <w:ind w:left="0"/>
      </w:pPr>
      <w:r>
        <w:rPr>
          <w:sz w:val="20"/>
        </w:rPr>
        <w:t>폐기물을 종류별로 분리수거하고 적법하게 처리한다. 일반폐기물(종이·플라스틱·금속 분리), 지정폐기물(별도 용기·보관창고 관리), 재활용 자원 극대화. 폐기물 처리업체는 허가업체만 사용하며 폐기물 발생·처리 대장(EMS-F-004)을 월간 기록한다.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참조 (EMS-F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EMS-M-001 환경경영시스템 매뉴얼</w:t>
        <w:br/>
        <w:t>ISO 14001:2015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