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EMS-G-002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대기·수질·소음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8.1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대기·수질·소음 관리 지침서의 세부 실행 방법과 기준을 제공한다.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전 사업장 환경 관련 업무</w:t>
      </w:r>
    </w:p>
    <w:p>
      <w:pPr>
        <w:pStyle w:val="Heading1"/>
      </w:pPr>
      <w:r>
        <w:rPr>
          <w:b/>
          <w:color w:val="1F3864"/>
          <w:sz w:val="24"/>
        </w:rPr>
        <w:t>3. 세부 지침</w:t>
      </w:r>
    </w:p>
    <w:p>
      <w:pPr>
        <w:spacing w:after="80"/>
        <w:ind w:left="0"/>
      </w:pPr>
      <w:r>
        <w:rPr>
          <w:sz w:val="20"/>
        </w:rPr>
        <w:t>대기: 도장공정 VOC 배출 기준(법정 기준의 80% 이하) 준수, 분기별 측정. 수질: 폐수처리시설 운영, 방류수 수질 기준 준수, 월간 측정. 소음: 경계소음 기준(주간 65dB 이하) 준수, 반기별 측정. 이상 발생 시 즉시 생산 중단 및 환경팀 보고.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양식 참조 (EMS-F 시리즈)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EMS-M-001 환경경영시스템 매뉴얼</w:t>
        <w:br/>
        <w:t>ISO 14001:2015 8.1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