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EMS-G-005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탄소배출량 산정 및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9.1 / ESG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탄소배출량 산정 및 관리 지침서의 세부 실행 방법과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사업장 환경 관련 업무</w:t>
      </w:r>
    </w:p>
    <w:p>
      <w:pPr>
        <w:pStyle w:val="Heading1"/>
      </w:pPr>
      <w:r>
        <w:rPr>
          <w:b/>
          <w:color w:val="1F3864"/>
          <w:sz w:val="24"/>
        </w:rPr>
        <w:t>3. 세부 지침</w:t>
      </w:r>
    </w:p>
    <w:p>
      <w:pPr>
        <w:spacing w:after="80"/>
        <w:ind w:left="0"/>
      </w:pPr>
      <w:r>
        <w:rPr>
          <w:sz w:val="20"/>
        </w:rPr>
        <w:t>Scope1(직접배출: 연료연소, 공정배출), Scope2(간접배출: 전력 구매) 산정. 산정 방법: GHG Protocol Corporate Standard 준용. 측정·기록: 연간 온실가스 배출량 산정표(EMS-F-020) 작성. ESG 경영 보고서 연계: 탄소집약도, SBTi 목표 연동 필드. 탄소중립 로드맵: 2030년 Scope1+2 30% 감축, 2040년 넷제로 달성 목표.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참조 (EMS-F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EMS-M-001 환경경영시스템 매뉴얼</w:t>
        <w:br/>
        <w:t>ISO 14001:2015 9.1 / ESG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