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내부심사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9.2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EMS가 조직의 자체 요구사항과 ISO 14001 요구사항에 적합하게 실행·유지되고 있는지 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EMS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환경측면: 환경과 상호작용할 수 있는 활동·제품·서비스의 요소</w:t>
      </w:r>
    </w:p>
    <w:p>
      <w:pPr>
        <w:pStyle w:val="ListBullet"/>
        <w:ind w:left="283"/>
      </w:pPr>
      <w:r>
        <w:rPr>
          <w:sz w:val="20"/>
        </w:rPr>
        <w:t>환경영향: 유해 또는 유익하게 환경에 가해지는 전부 또는 부분적 변화</w:t>
      </w:r>
    </w:p>
    <w:p>
      <w:pPr>
        <w:pStyle w:val="ListBullet"/>
        <w:ind w:left="283"/>
      </w:pPr>
      <w:r>
        <w:rPr>
          <w:sz w:val="20"/>
        </w:rPr>
        <w:t>중요 환경측면: 환경에 중요한 영향을 미치는 환경측면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환경방침 승인, 자원 제공</w:t>
      </w:r>
    </w:p>
    <w:p>
      <w:pPr>
        <w:pStyle w:val="ListBullet"/>
        <w:ind w:left="283"/>
      </w:pPr>
      <w:r>
        <w:rPr>
          <w:sz w:val="20"/>
        </w:rPr>
        <w:t>기술연구소장: EMS 전체 관리 책임</w:t>
      </w:r>
    </w:p>
    <w:p>
      <w:pPr>
        <w:pStyle w:val="ListBullet"/>
        <w:ind w:left="283"/>
      </w:pPr>
      <w:r>
        <w:rPr>
          <w:sz w:val="20"/>
        </w:rPr>
        <w:t>환경안전팀장: 환경측면 관리, 법규 준수 모니터링</w:t>
      </w:r>
    </w:p>
    <w:p>
      <w:pPr>
        <w:pStyle w:val="ListBullet"/>
        <w:ind w:left="283"/>
      </w:pPr>
      <w:r>
        <w:rPr>
          <w:sz w:val="20"/>
        </w:rPr>
        <w:t>각 부서장: 해당 환경측면 관리 및 기록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연간 내부심사 계획 수립</w:t>
      </w:r>
    </w:p>
    <w:p>
      <w:pPr>
        <w:pStyle w:val="ListBullet"/>
        <w:ind w:left="283"/>
      </w:pPr>
      <w:r>
        <w:rPr>
          <w:sz w:val="20"/>
        </w:rPr>
        <w:t>2) 심사원: ISO 14001 내부심사원 자격보유자, 심사 대상과 독립</w:t>
      </w:r>
    </w:p>
    <w:p>
      <w:pPr>
        <w:pStyle w:val="ListBullet"/>
        <w:ind w:left="283"/>
      </w:pPr>
      <w:r>
        <w:rPr>
          <w:sz w:val="20"/>
        </w:rPr>
        <w:t>3) 심사 체크리스트(EMS-F-015) 사용, 증거 기반 심사</w:t>
      </w:r>
    </w:p>
    <w:p>
      <w:pPr>
        <w:pStyle w:val="ListBullet"/>
        <w:ind w:left="283"/>
      </w:pPr>
      <w:r>
        <w:rPr>
          <w:sz w:val="20"/>
        </w:rPr>
        <w:t>4) 심사 보고서 작성 후 7일 내 배포</w:t>
      </w:r>
    </w:p>
    <w:p>
      <w:pPr>
        <w:pStyle w:val="ListBullet"/>
        <w:ind w:left="283"/>
      </w:pPr>
      <w:r>
        <w:rPr>
          <w:sz w:val="20"/>
        </w:rPr>
        <w:t>5) 부적합 시정조치 연계 및 후속 확인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EMS-F-015 내부심사 체크리스트(환경조항별)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EMS-M-001</w:t>
      </w:r>
    </w:p>
    <w:p>
      <w:pPr>
        <w:pStyle w:val="ListBullet"/>
        <w:ind w:left="283"/>
      </w:pPr>
      <w:r>
        <w:rPr>
          <w:sz w:val="20"/>
        </w:rPr>
        <w:t>EMS-P-005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