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환경목표 및 세부목표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6.2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환경목표를 수립하고 달성 계획을 이행하며 성과를 주기적으로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본사 및 전 사업장 환경목표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연초 환경목표 수립(중요 환경측면 및 법규 반영)</w:t>
      </w:r>
    </w:p>
    <w:p>
      <w:pPr>
        <w:pStyle w:val="ListBullet"/>
        <w:ind w:left="283"/>
      </w:pPr>
      <w:r>
        <w:rPr>
          <w:sz w:val="20"/>
        </w:rPr>
        <w:t>2) 목표별 세부 추진계획 수립(EMS-F-003)</w:t>
      </w:r>
    </w:p>
    <w:p>
      <w:pPr>
        <w:pStyle w:val="ListBullet"/>
        <w:ind w:left="283"/>
      </w:pPr>
      <w:r>
        <w:rPr>
          <w:sz w:val="20"/>
        </w:rPr>
        <w:t>3) 월간 성과 모니터링 및 추세 분析</w:t>
      </w:r>
    </w:p>
    <w:p>
      <w:pPr>
        <w:pStyle w:val="ListBullet"/>
        <w:ind w:left="283"/>
      </w:pPr>
      <w:r>
        <w:rPr>
          <w:sz w:val="20"/>
        </w:rPr>
        <w:t>4) 목표 미달 시: 원인 분析 및 개선 조치</w:t>
      </w:r>
    </w:p>
    <w:p>
      <w:pPr>
        <w:pStyle w:val="ListBullet"/>
        <w:ind w:left="283"/>
      </w:pPr>
      <w:r>
        <w:rPr>
          <w:sz w:val="20"/>
        </w:rPr>
        <w:t>5) 연말 목표 달성 결과를 경영검토에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EMS-F-003 환경목표 관리표</w:t>
      </w:r>
    </w:p>
    <w:p>
      <w:pPr>
        <w:pStyle w:val="ListBullet"/>
        <w:ind w:left="283"/>
      </w:pPr>
      <w:r>
        <w:rPr>
          <w:sz w:val="20"/>
        </w:rPr>
        <w:t>EMS-F-014 환경개선 활동 실적표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p>
      <w:pPr>
        <w:pStyle w:val="ListBullet"/>
        <w:ind w:left="283"/>
      </w:pPr>
      <w:r>
        <w:rPr>
          <w:sz w:val="20"/>
        </w:rPr>
        <w:t>EMS-P-010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