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EMS-P-009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운영통제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14001:2015 8.1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중요 환경측면과 관련된 운영 활동을 통제하여 환경영향을 최소화한다.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대기·수질·폐기물·소음·에너지·화학물질 관련 모든 공정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환경측면: 환경과 상호작용할 수 있는 활동·제품·서비스의 요소</w:t>
      </w:r>
    </w:p>
    <w:p>
      <w:pPr>
        <w:pStyle w:val="ListBullet"/>
        <w:ind w:left="283"/>
      </w:pPr>
      <w:r>
        <w:rPr>
          <w:sz w:val="20"/>
        </w:rPr>
        <w:t>환경영향: 유해 또는 유익하게 환경에 가해지는 전부 또는 부분적 변화</w:t>
      </w:r>
    </w:p>
    <w:p>
      <w:pPr>
        <w:pStyle w:val="ListBullet"/>
        <w:ind w:left="283"/>
      </w:pPr>
      <w:r>
        <w:rPr>
          <w:sz w:val="20"/>
        </w:rPr>
        <w:t>중요 환경측면: 환경에 중요한 영향을 미치는 환경측면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대표이사: 환경방침 승인, 자원 제공</w:t>
      </w:r>
    </w:p>
    <w:p>
      <w:pPr>
        <w:pStyle w:val="ListBullet"/>
        <w:ind w:left="283"/>
      </w:pPr>
      <w:r>
        <w:rPr>
          <w:sz w:val="20"/>
        </w:rPr>
        <w:t>기술연구소장: EMS 전체 관리 책임</w:t>
      </w:r>
    </w:p>
    <w:p>
      <w:pPr>
        <w:pStyle w:val="ListBullet"/>
        <w:ind w:left="283"/>
      </w:pPr>
      <w:r>
        <w:rPr>
          <w:sz w:val="20"/>
        </w:rPr>
        <w:t>환경안전팀장: 환경측면 관리, 법규 준수 모니터링</w:t>
      </w:r>
    </w:p>
    <w:p>
      <w:pPr>
        <w:pStyle w:val="ListBullet"/>
        <w:ind w:left="283"/>
      </w:pPr>
      <w:r>
        <w:rPr>
          <w:sz w:val="20"/>
        </w:rPr>
        <w:t>각 부서장: 해당 환경측면 관리 및 기록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pStyle w:val="ListBullet"/>
        <w:ind w:left="283"/>
      </w:pPr>
      <w:r>
        <w:rPr>
          <w:sz w:val="20"/>
        </w:rPr>
        <w:t>1) 운영통제 대상 파악: 중요 환경측면별 공정 목록화</w:t>
      </w:r>
    </w:p>
    <w:p>
      <w:pPr>
        <w:pStyle w:val="ListBullet"/>
        <w:ind w:left="283"/>
      </w:pPr>
      <w:r>
        <w:rPr>
          <w:sz w:val="20"/>
        </w:rPr>
        <w:t>2) 운영기준 설정: 허용한계 및 모니터링 방법 결정</w:t>
      </w:r>
    </w:p>
    <w:p>
      <w:pPr>
        <w:pStyle w:val="ListBullet"/>
        <w:ind w:left="283"/>
      </w:pPr>
      <w:r>
        <w:rPr>
          <w:sz w:val="20"/>
        </w:rPr>
        <w:t>3) 작업지침서(WI) 작성 및 교육 실시</w:t>
      </w:r>
    </w:p>
    <w:p>
      <w:pPr>
        <w:pStyle w:val="ListBullet"/>
        <w:ind w:left="283"/>
      </w:pPr>
      <w:r>
        <w:rPr>
          <w:sz w:val="20"/>
        </w:rPr>
        <w:t>4) 모니터링 결과 기록 및 이상 시 즉시 대응</w:t>
      </w:r>
    </w:p>
    <w:p>
      <w:pPr>
        <w:pStyle w:val="ListBullet"/>
        <w:ind w:left="283"/>
      </w:pPr>
      <w:r>
        <w:rPr>
          <w:sz w:val="20"/>
        </w:rPr>
        <w:t>5) 외부 공급자: 환경 요구사항을 계약서에 명기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EMS-F-006 용수 사용량 기록표</w:t>
      </w:r>
    </w:p>
    <w:p>
      <w:pPr>
        <w:pStyle w:val="ListBullet"/>
        <w:ind w:left="283"/>
      </w:pPr>
      <w:r>
        <w:rPr>
          <w:sz w:val="20"/>
        </w:rPr>
        <w:t>EMS-F-007 에너지 사용량 기록표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EMS-M-001</w:t>
      </w:r>
    </w:p>
    <w:p>
      <w:pPr>
        <w:pStyle w:val="ListBullet"/>
        <w:ind w:left="283"/>
      </w:pPr>
      <w:r>
        <w:rPr>
          <w:sz w:val="20"/>
        </w:rPr>
        <w:t>EMS-P-002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