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EMS-P-010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모니터링·측정·분析·평가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9.1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환경성과지표(EPI)를 체계적으로 모니터링하여 환경목표 달성 여부를 평가한다.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에너지·용수·대기·수질·폐기물·온실가스 전 분야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환경측면: 환경과 상호작용할 수 있는 활동·제품·서비스의 요소</w:t>
      </w:r>
    </w:p>
    <w:p>
      <w:pPr>
        <w:pStyle w:val="ListBullet"/>
        <w:ind w:left="283"/>
      </w:pPr>
      <w:r>
        <w:rPr>
          <w:sz w:val="20"/>
        </w:rPr>
        <w:t>환경영향: 유해 또는 유익하게 환경에 가해지는 전부 또는 부분적 변화</w:t>
      </w:r>
    </w:p>
    <w:p>
      <w:pPr>
        <w:pStyle w:val="ListBullet"/>
        <w:ind w:left="283"/>
      </w:pPr>
      <w:r>
        <w:rPr>
          <w:sz w:val="20"/>
        </w:rPr>
        <w:t>중요 환경측면: 환경에 중요한 영향을 미치는 환경측면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환경방침 승인, 자원 제공</w:t>
      </w:r>
    </w:p>
    <w:p>
      <w:pPr>
        <w:pStyle w:val="ListBullet"/>
        <w:ind w:left="283"/>
      </w:pPr>
      <w:r>
        <w:rPr>
          <w:sz w:val="20"/>
        </w:rPr>
        <w:t>기술연구소장: EMS 전체 관리 책임</w:t>
      </w:r>
    </w:p>
    <w:p>
      <w:pPr>
        <w:pStyle w:val="ListBullet"/>
        <w:ind w:left="283"/>
      </w:pPr>
      <w:r>
        <w:rPr>
          <w:sz w:val="20"/>
        </w:rPr>
        <w:t>환경안전팀장: 환경측면 관리, 법규 준수 모니터링</w:t>
      </w:r>
    </w:p>
    <w:p>
      <w:pPr>
        <w:pStyle w:val="ListBullet"/>
        <w:ind w:left="283"/>
      </w:pPr>
      <w:r>
        <w:rPr>
          <w:sz w:val="20"/>
        </w:rPr>
        <w:t>각 부서장: 해당 환경측면 관리 및 기록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EPI 결정: 에너지원단위, 용수원단위, 폐기물발생량, CO₂eq, 법규 준수율</w:t>
      </w:r>
    </w:p>
    <w:p>
      <w:pPr>
        <w:pStyle w:val="ListBullet"/>
        <w:ind w:left="283"/>
      </w:pPr>
      <w:r>
        <w:rPr>
          <w:sz w:val="20"/>
        </w:rPr>
        <w:t>2) 측정 주기: 에너지·용수(월간), 대기·수질(분기), 온실가스(연간)</w:t>
      </w:r>
    </w:p>
    <w:p>
      <w:pPr>
        <w:pStyle w:val="ListBullet"/>
        <w:ind w:left="283"/>
      </w:pPr>
      <w:r>
        <w:rPr>
          <w:sz w:val="20"/>
        </w:rPr>
        <w:t>3) 공인 시험기관 의뢰 측정 결과 기록 및 보관(5년)</w:t>
      </w:r>
    </w:p>
    <w:p>
      <w:pPr>
        <w:pStyle w:val="ListBullet"/>
        <w:ind w:left="283"/>
      </w:pPr>
      <w:r>
        <w:rPr>
          <w:sz w:val="20"/>
        </w:rPr>
        <w:t>4) 결과 분析: 전년 대비, 목표 대비 추세 분析</w:t>
      </w:r>
    </w:p>
    <w:p>
      <w:pPr>
        <w:pStyle w:val="ListBullet"/>
        <w:ind w:left="283"/>
      </w:pPr>
      <w:r>
        <w:rPr>
          <w:sz w:val="20"/>
        </w:rPr>
        <w:t>5) 경영검토 및 외부 보고에 결과 활용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EMS-F-007 에너지 사용량 기록표</w:t>
      </w:r>
    </w:p>
    <w:p>
      <w:pPr>
        <w:pStyle w:val="ListBullet"/>
        <w:ind w:left="283"/>
      </w:pPr>
      <w:r>
        <w:rPr>
          <w:sz w:val="20"/>
        </w:rPr>
        <w:t>EMS-F-008 대기오염물질 측정 기록부</w:t>
      </w:r>
    </w:p>
    <w:p>
      <w:pPr>
        <w:pStyle w:val="ListBullet"/>
        <w:ind w:left="283"/>
      </w:pPr>
      <w:r>
        <w:rPr>
          <w:sz w:val="20"/>
        </w:rPr>
        <w:t>EMS-F-023 환경성과지표 관리표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EMS-M-001</w:t>
      </w:r>
    </w:p>
    <w:p>
      <w:pPr>
        <w:pStyle w:val="ListBullet"/>
        <w:ind w:left="283"/>
      </w:pPr>
      <w:r>
        <w:rPr>
          <w:sz w:val="20"/>
        </w:rPr>
        <w:t>EMS-P-005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