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FSMS-G-005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식품이물 관리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이물 혼입 예방 및 발견 시 조치 절차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생산부, 시설관리팀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이물(Foreign Material)</w:t>
      </w:r>
    </w:p>
    <w:p>
      <w:pPr>
        <w:pStyle w:val="ListBullet"/>
        <w:ind w:left="283"/>
      </w:pPr>
      <w:r>
        <w:rPr>
          <w:sz w:val="20"/>
        </w:rPr>
        <w:t>금속이물(Metal Foreign Body)</w:t>
      </w:r>
    </w:p>
    <w:p>
      <w:pPr>
        <w:pStyle w:val="ListBullet"/>
        <w:ind w:left="283"/>
      </w:pPr>
      <w:r>
        <w:rPr>
          <w:sz w:val="20"/>
        </w:rPr>
        <w:t>이물검출기(Metal Detector)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이물검출기 감도 설정(철: 1.5mm, 비철: 2.0mm, SUS: 2.5mm), 일일 교정 기록, 이물 발견 시 즉시 생산 중단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