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FSMS-P-004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CCP 모니터링 및 시정조치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22000:2018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CCP의 한계기준 준수 여부 모니터링 및 이탈 시 시정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설정된 모든 CCP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한계기준 이탈(Deviation)</w:t>
      </w:r>
    </w:p>
    <w:p>
      <w:pPr>
        <w:pStyle w:val="ListBullet"/>
        <w:ind w:left="283"/>
      </w:pPr>
      <w:r>
        <w:rPr>
          <w:sz w:val="20"/>
        </w:rPr>
        <w:t>시정조치(Corrective Action)</w:t>
      </w:r>
    </w:p>
    <w:p>
      <w:pPr>
        <w:pStyle w:val="ListBullet"/>
        <w:ind w:left="283"/>
      </w:pPr>
      <w:r>
        <w:rPr>
          <w:sz w:val="20"/>
        </w:rPr>
        <w:t>즉각시정(Immediate Correction)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CCP 담당자: 모니터링 및 즉각시정</w:t>
      </w:r>
    </w:p>
    <w:p>
      <w:pPr>
        <w:pStyle w:val="ListBullet"/>
        <w:ind w:left="283"/>
      </w:pPr>
      <w:r>
        <w:rPr>
          <w:sz w:val="20"/>
        </w:rPr>
        <w:t>QA담당자: 시정조치 확인</w:t>
      </w:r>
    </w:p>
    <w:p>
      <w:pPr>
        <w:pStyle w:val="ListBullet"/>
        <w:ind w:left="283"/>
      </w:pPr>
      <w:r>
        <w:rPr>
          <w:sz w:val="20"/>
        </w:rPr>
        <w:t>HACCP팀장: 이탈 보고 접수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모니터링 → 한계기준 이탈 감지 → 즉각 시정 → 원인 분석 → 재발 방지 → 기록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FSMS-F-003_CCP모니터링기록</w:t>
      </w:r>
    </w:p>
    <w:p>
      <w:pPr>
        <w:pStyle w:val="ListBullet"/>
        <w:ind w:left="283"/>
      </w:pPr>
      <w:r>
        <w:rPr>
          <w:sz w:val="20"/>
        </w:rPr>
        <w:t>FSMS-F-005_시정조치기록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FSMS-P-002</w:t>
      </w:r>
    </w:p>
    <w:p>
      <w:pPr>
        <w:pStyle w:val="ListBullet"/>
        <w:ind w:left="283"/>
      </w:pPr>
      <w:r>
        <w:rPr>
          <w:sz w:val="20"/>
        </w:rPr>
        <w:t>FSMS-P-005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