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네트워크 보안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네트워크 보안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망 분리: 업무망-인터넷망-서버망 분리 운영</w:t>
      </w:r>
    </w:p>
    <w:p>
      <w:pPr>
        <w:ind w:left="283"/>
      </w:pPr>
      <w:r>
        <w:rPr>
          <w:sz w:val="20"/>
        </w:rPr>
        <w:t>• 방화벽 정책 최소 권한 원칙</w:t>
      </w:r>
    </w:p>
    <w:p>
      <w:pPr>
        <w:ind w:left="283"/>
      </w:pPr>
      <w:r>
        <w:rPr>
          <w:sz w:val="20"/>
        </w:rPr>
        <w:t>• 무선 AP 암호화(WPA3) 및 게스트 네트워크 분리</w:t>
      </w:r>
    </w:p>
    <w:p>
      <w:pPr>
        <w:ind w:left="283"/>
      </w:pPr>
      <w:r>
        <w:rPr>
          <w:sz w:val="20"/>
        </w:rPr>
        <w:t>• 이상 트래픽 탐지(IDS/IPS) 24시간 모니터링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