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ISMS-G-007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외부 매체 및 USB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 및 적용범위</w:t>
      </w:r>
    </w:p>
    <w:p>
      <w:r>
        <w:rPr>
          <w:sz w:val="20"/>
        </w:rPr>
        <w:t>본 지침서는 (주)한영피엔에스의 정보보안 외부 매체 및 USB 관리 지침서에 관한 세부 기준을 정한다.</w:t>
      </w:r>
    </w:p>
    <w:p>
      <w:pPr>
        <w:pStyle w:val="Heading1"/>
      </w:pPr>
      <w:r>
        <w:rPr>
          <w:b/>
          <w:color w:val="1F3864"/>
          <w:sz w:val="24"/>
        </w:rPr>
        <w:t>2. 세부 기준</w:t>
      </w:r>
    </w:p>
    <w:p>
      <w:pPr>
        <w:ind w:left="283"/>
      </w:pPr>
      <w:r>
        <w:rPr>
          <w:sz w:val="20"/>
        </w:rPr>
        <w:t>• 외부 저장매체 사용 전 등록 및 승인 필수</w:t>
      </w:r>
    </w:p>
    <w:p>
      <w:pPr>
        <w:ind w:left="283"/>
      </w:pPr>
      <w:r>
        <w:rPr>
          <w:sz w:val="20"/>
        </w:rPr>
        <w:t>• USB 자동실행 비활성화</w:t>
      </w:r>
    </w:p>
    <w:p>
      <w:pPr>
        <w:ind w:left="283"/>
      </w:pPr>
      <w:r>
        <w:rPr>
          <w:sz w:val="20"/>
        </w:rPr>
        <w:t>• 데이터 반출 시 CISO 승인 후 암호화</w:t>
      </w:r>
    </w:p>
    <w:p>
      <w:pPr>
        <w:ind w:left="283"/>
      </w:pPr>
      <w:r>
        <w:rPr>
          <w:sz w:val="20"/>
        </w:rPr>
        <w:t>• 분실 즉시 신고 및 원격 삭제 요청</w:t>
      </w:r>
    </w:p>
    <w:p>
      <w:pPr>
        <w:pStyle w:val="Heading1"/>
      </w:pPr>
      <w:r>
        <w:rPr>
          <w:b/>
          <w:color w:val="1F3864"/>
          <w:sz w:val="24"/>
        </w:rPr>
        <w:t>3. 위반 시 처리</w:t>
      </w:r>
    </w:p>
    <w:p>
      <w:r>
        <w:rPr>
          <w:sz w:val="20"/>
        </w:rPr>
        <w:t>본 지침서를 위반하는 경우 사규에 따라 징계 조치하며, 법적 책임이 발생할 수 있다.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