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ISMS-M-001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정보보안경영시스템 매뉴얼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적용범위</w:t>
      </w:r>
    </w:p>
    <w:p>
      <w:pPr>
        <w:ind w:left="283"/>
      </w:pPr>
      <w:r>
        <w:rPr>
          <w:sz w:val="20"/>
        </w:rPr>
        <w:t>본 매뉴얼은 (주)한영피엔에스의 정보보안경영시스템(ISMS)에 적용되며, 조직의 정보자산 보호, 기밀성·무결성·가용성 확보를 목적으로 한다.</w:t>
      </w:r>
    </w:p>
    <w:p>
      <w:pPr>
        <w:ind w:left="283"/>
      </w:pPr>
      <w:r>
        <w:rPr>
          <w:sz w:val="20"/>
        </w:rPr>
        <w:t>적용 규격: ISO/IEC 27001:2022 전체 조항 및 부속서 A</w:t>
      </w:r>
    </w:p>
    <w:p/>
    <w:p>
      <w:pPr>
        <w:pStyle w:val="Heading1"/>
      </w:pPr>
      <w:r>
        <w:rPr>
          <w:b/>
          <w:color w:val="1F3864"/>
          <w:sz w:val="24"/>
        </w:rPr>
        <w:t>2. 인용표준 및 법규</w:t>
      </w:r>
    </w:p>
    <w:p>
      <w:pPr>
        <w:ind w:left="283"/>
      </w:pPr>
      <w:r>
        <w:rPr>
          <w:sz w:val="20"/>
        </w:rPr>
        <w:t>• ISO/IEC 27001:2022 – 정보보안경영시스템 요구사항</w:t>
      </w:r>
    </w:p>
    <w:p>
      <w:pPr>
        <w:ind w:left="283"/>
      </w:pPr>
      <w:r>
        <w:rPr>
          <w:sz w:val="20"/>
        </w:rPr>
        <w:t>• ISO/IEC 27002:2022 – 정보보안 통제 실무 지침</w:t>
      </w:r>
    </w:p>
    <w:p>
      <w:pPr>
        <w:ind w:left="283"/>
      </w:pPr>
      <w:r>
        <w:rPr>
          <w:sz w:val="20"/>
        </w:rPr>
        <w:t>• 개인정보보호법, 정보통신망법, 전자금융거래법</w:t>
      </w:r>
    </w:p>
    <w:p>
      <w:pPr>
        <w:ind w:left="283"/>
      </w:pPr>
      <w:r>
        <w:rPr>
          <w:sz w:val="20"/>
        </w:rPr>
        <w:t>• 산업기술보호법, 영업비밀보호법</w:t>
      </w:r>
    </w:p>
    <w:p/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ind w:left="283"/>
      </w:pPr>
      <w:r>
        <w:rPr>
          <w:sz w:val="20"/>
        </w:rPr>
        <w:t>• 정보자산: 조직에 가치가 있는 모든 형태의 정보</w:t>
      </w:r>
    </w:p>
    <w:p>
      <w:pPr>
        <w:ind w:left="283"/>
      </w:pPr>
      <w:r>
        <w:rPr>
          <w:sz w:val="20"/>
        </w:rPr>
        <w:t>• 위험(Risk): 위협이 취약점을 이용하여 정보에 영향을 미칠 가능성</w:t>
      </w:r>
    </w:p>
    <w:p>
      <w:pPr>
        <w:ind w:left="283"/>
      </w:pPr>
      <w:r>
        <w:rPr>
          <w:sz w:val="20"/>
        </w:rPr>
        <w:t>• 통제(Control): 위험을 수정하는 조치 (ISO 27001 부속서 A 기준)</w:t>
      </w:r>
    </w:p>
    <w:p>
      <w:pPr>
        <w:ind w:left="283"/>
      </w:pPr>
      <w:r>
        <w:rPr>
          <w:sz w:val="20"/>
        </w:rPr>
        <w:t>• ISMS: 정보보안 정책, 절차, 기술, 인적 통제를 포함하는 경영시스템</w:t>
      </w:r>
    </w:p>
    <w:p/>
    <w:p>
      <w:pPr>
        <w:pStyle w:val="Heading1"/>
      </w:pPr>
      <w:r>
        <w:rPr>
          <w:b/>
          <w:color w:val="1F3864"/>
          <w:sz w:val="24"/>
        </w:rPr>
        <w:t>4. 조직 상황</w:t>
      </w:r>
    </w:p>
    <w:p>
      <w:pPr>
        <w:ind w:left="283"/>
      </w:pPr>
      <w:r>
        <w:rPr>
          <w:sz w:val="20"/>
        </w:rPr>
        <w:t>4.1 조직과 맥락 이해: 내·외부 현안, 이해관계자 니즈 파악</w:t>
      </w:r>
    </w:p>
    <w:p>
      <w:pPr>
        <w:ind w:left="283"/>
      </w:pPr>
      <w:r>
        <w:rPr>
          <w:sz w:val="20"/>
        </w:rPr>
        <w:t>4.2 이해관계자 니즈: 고객, 규제기관, 공급자, 임직원</w:t>
      </w:r>
    </w:p>
    <w:p>
      <w:pPr>
        <w:ind w:left="283"/>
      </w:pPr>
      <w:r>
        <w:rPr>
          <w:sz w:val="20"/>
        </w:rPr>
        <w:t>4.3 ISMS 적용범위: 전사 정보시스템, 네트워크, 물리적 시설</w:t>
      </w:r>
    </w:p>
    <w:p>
      <w:pPr>
        <w:ind w:left="283"/>
      </w:pPr>
      <w:r>
        <w:rPr>
          <w:sz w:val="20"/>
        </w:rPr>
        <w:t>4.4 ISMS: PDCA 사이클 기반 지속적 개선 체계 운영</w:t>
      </w:r>
    </w:p>
    <w:p/>
    <w:p>
      <w:pPr>
        <w:pStyle w:val="Heading1"/>
      </w:pPr>
      <w:r>
        <w:rPr>
          <w:b/>
          <w:color w:val="1F3864"/>
          <w:sz w:val="24"/>
        </w:rPr>
        <w:t>5. 리더십</w:t>
      </w:r>
    </w:p>
    <w:p>
      <w:pPr>
        <w:ind w:left="283"/>
      </w:pPr>
      <w:r>
        <w:rPr>
          <w:sz w:val="20"/>
        </w:rPr>
        <w:t>5.1 리더십과 의지표명: 최고경영자 정보보안 방침 선언</w:t>
      </w:r>
    </w:p>
    <w:p>
      <w:pPr>
        <w:ind w:left="283"/>
      </w:pPr>
      <w:r>
        <w:rPr>
          <w:sz w:val="20"/>
        </w:rPr>
        <w:t>5.2 정보보안 방침: 전사 배포, 연 1회 이상 검토</w:t>
      </w:r>
    </w:p>
    <w:p>
      <w:pPr>
        <w:ind w:left="283"/>
      </w:pPr>
      <w:r>
        <w:rPr>
          <w:sz w:val="20"/>
        </w:rPr>
        <w:t>5.3 역할·책임·권한: CISO, 정보보안 담당자, 부서별 보안책임자 지정</w:t>
      </w:r>
    </w:p>
    <w:p/>
    <w:p>
      <w:pPr>
        <w:pStyle w:val="Heading1"/>
      </w:pPr>
      <w:r>
        <w:rPr>
          <w:b/>
          <w:color w:val="1F3864"/>
          <w:sz w:val="24"/>
        </w:rPr>
        <w:t>6. 기획</w:t>
      </w:r>
    </w:p>
    <w:p>
      <w:pPr>
        <w:ind w:left="283"/>
      </w:pPr>
      <w:r>
        <w:rPr>
          <w:sz w:val="20"/>
        </w:rPr>
        <w:t>6.1 위험과 기회: 정보보안 위험평가 절차 수립(ISMS-P-001)</w:t>
      </w:r>
    </w:p>
    <w:p>
      <w:pPr>
        <w:ind w:left="283"/>
      </w:pPr>
      <w:r>
        <w:rPr>
          <w:sz w:val="20"/>
        </w:rPr>
        <w:t>6.1.2 정보보안 위험평가: 위협·취약점·영향도 분석, 위험수용 기준 설정</w:t>
      </w:r>
    </w:p>
    <w:p>
      <w:pPr>
        <w:ind w:left="283"/>
      </w:pPr>
      <w:r>
        <w:rPr>
          <w:sz w:val="20"/>
        </w:rPr>
        <w:t>6.1.3 위험처리: 위험처리 계획 수립, SoA 작성</w:t>
      </w:r>
    </w:p>
    <w:p>
      <w:pPr>
        <w:ind w:left="283"/>
      </w:pPr>
      <w:r>
        <w:rPr>
          <w:sz w:val="20"/>
        </w:rPr>
        <w:t>6.2 정보보안 목표: 측정 가능한 KPI 설정, 연간 목표 관리</w:t>
      </w:r>
    </w:p>
    <w:p/>
    <w:p>
      <w:pPr>
        <w:pStyle w:val="Heading1"/>
      </w:pPr>
      <w:r>
        <w:rPr>
          <w:b/>
          <w:color w:val="1F3864"/>
          <w:sz w:val="24"/>
        </w:rPr>
        <w:t>7. 지원</w:t>
      </w:r>
    </w:p>
    <w:p>
      <w:pPr>
        <w:ind w:left="283"/>
      </w:pPr>
      <w:r>
        <w:rPr>
          <w:sz w:val="20"/>
        </w:rPr>
        <w:t>7.1 자원: 정보보안 예산, 인력, 기술 인프라 확보</w:t>
      </w:r>
    </w:p>
    <w:p>
      <w:pPr>
        <w:ind w:left="283"/>
      </w:pPr>
      <w:r>
        <w:rPr>
          <w:sz w:val="20"/>
        </w:rPr>
        <w:t>7.2 역량: 보안 교육·훈련, 자격증 취득 지원</w:t>
      </w:r>
    </w:p>
    <w:p>
      <w:pPr>
        <w:ind w:left="283"/>
      </w:pPr>
      <w:r>
        <w:rPr>
          <w:sz w:val="20"/>
        </w:rPr>
        <w:t>7.3 인식: 전 임직원 보안인식 교육(연 2회 이상)</w:t>
      </w:r>
    </w:p>
    <w:p>
      <w:pPr>
        <w:ind w:left="283"/>
      </w:pPr>
      <w:r>
        <w:rPr>
          <w:sz w:val="20"/>
        </w:rPr>
        <w:t>7.4 의사소통: 내·외부 보안 이슈 보고 체계</w:t>
      </w:r>
    </w:p>
    <w:p>
      <w:pPr>
        <w:ind w:left="283"/>
      </w:pPr>
      <w:r>
        <w:rPr>
          <w:sz w:val="20"/>
        </w:rPr>
        <w:t>7.5 문서화된 정보: 문서 생성·갱신·통제 절차(ISMS-P-014)</w:t>
      </w:r>
    </w:p>
    <w:p/>
    <w:p>
      <w:pPr>
        <w:pStyle w:val="Heading1"/>
      </w:pPr>
      <w:r>
        <w:rPr>
          <w:b/>
          <w:color w:val="1F3864"/>
          <w:sz w:val="24"/>
        </w:rPr>
        <w:t>8. 운용</w:t>
      </w:r>
    </w:p>
    <w:p>
      <w:pPr>
        <w:ind w:left="283"/>
      </w:pPr>
      <w:r>
        <w:rPr>
          <w:sz w:val="20"/>
        </w:rPr>
        <w:t>8.1 운용 계획 및 통제: 보안 통제 이행, 변경 관리</w:t>
      </w:r>
    </w:p>
    <w:p>
      <w:pPr>
        <w:ind w:left="283"/>
      </w:pPr>
      <w:r>
        <w:rPr>
          <w:sz w:val="20"/>
        </w:rPr>
        <w:t>8.2 정보보안 위험평가 수행: 정기(연 1회) 및 수시 평가</w:t>
      </w:r>
    </w:p>
    <w:p>
      <w:pPr>
        <w:ind w:left="283"/>
      </w:pPr>
      <w:r>
        <w:rPr>
          <w:sz w:val="20"/>
        </w:rPr>
        <w:t>8.3 정보보안 위험처리 이행: SoA에 따른 통제 구현</w:t>
      </w:r>
    </w:p>
    <w:p/>
    <w:p>
      <w:pPr>
        <w:pStyle w:val="Heading1"/>
      </w:pPr>
      <w:r>
        <w:rPr>
          <w:b/>
          <w:color w:val="1F3864"/>
          <w:sz w:val="24"/>
        </w:rPr>
        <w:t>9. 성과 평가</w:t>
      </w:r>
    </w:p>
    <w:p>
      <w:pPr>
        <w:ind w:left="283"/>
      </w:pPr>
      <w:r>
        <w:rPr>
          <w:sz w:val="20"/>
        </w:rPr>
        <w:t>9.1 모니터링·측정·분석·평가: 보안 KPI 월별 측정</w:t>
      </w:r>
    </w:p>
    <w:p>
      <w:pPr>
        <w:ind w:left="283"/>
      </w:pPr>
      <w:r>
        <w:rPr>
          <w:sz w:val="20"/>
        </w:rPr>
        <w:t>9.2 내부심사: 연 1회 이상, 독립성 확보</w:t>
      </w:r>
    </w:p>
    <w:p>
      <w:pPr>
        <w:ind w:left="283"/>
      </w:pPr>
      <w:r>
        <w:rPr>
          <w:sz w:val="20"/>
        </w:rPr>
        <w:t>9.3 경영검토: 연 1회 최고경영자 검토</w:t>
      </w:r>
    </w:p>
    <w:p/>
    <w:p>
      <w:pPr>
        <w:pStyle w:val="Heading1"/>
      </w:pPr>
      <w:r>
        <w:rPr>
          <w:b/>
          <w:color w:val="1F3864"/>
          <w:sz w:val="24"/>
        </w:rPr>
        <w:t>10. 개선</w:t>
      </w:r>
    </w:p>
    <w:p>
      <w:pPr>
        <w:ind w:left="283"/>
      </w:pPr>
      <w:r>
        <w:rPr>
          <w:sz w:val="20"/>
        </w:rPr>
        <w:t>10.1 부적합 및 시정조치: 보안사고 원인 분석, 재발 방지</w:t>
      </w:r>
    </w:p>
    <w:p>
      <w:pPr>
        <w:ind w:left="283"/>
      </w:pPr>
      <w:r>
        <w:rPr>
          <w:sz w:val="20"/>
        </w:rPr>
        <w:t>10.2 지속적 개선: PDCA 사이클, 보안성숙도 향상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