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9120"/>
            <w:gridSpan w:val="4"/>
            <w:shd w:val="clear" w:color="auto" w:fill="EBF3FB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12000" cy="15460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1546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1F3864"/>
                <w:sz w:val="22"/>
              </w:rPr>
              <w:tab/>
              <w:tab/>
              <w:tab/>
              <w:t>(주)한영피엔에스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ISMS-P-002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개정번호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Rev.1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문서명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정보자산 분류 및 관리 절차서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작성일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2026-03-06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작성부서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관련 ISO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ISO 27001:2022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검토자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기술연구소장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승인자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대표이사  김윤섭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mp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1"/>
      </w:pPr>
      <w:r>
        <w:rPr>
          <w:b/>
          <w:color w:val="1F3864"/>
          <w:sz w:val="24"/>
        </w:rPr>
        <w:t>1. 목적</w:t>
      </w:r>
    </w:p>
    <w:p>
      <w:r>
        <w:rPr>
          <w:sz w:val="20"/>
        </w:rPr>
        <w:t>정보자산의 식별·분류·등록·보호 기준 수립</w:t>
      </w:r>
    </w:p>
    <w:p>
      <w:pPr>
        <w:pStyle w:val="Heading1"/>
      </w:pPr>
      <w:r>
        <w:rPr>
          <w:b/>
          <w:color w:val="1F3864"/>
          <w:sz w:val="24"/>
        </w:rPr>
        <w:t>2. 적용범위</w:t>
      </w:r>
    </w:p>
    <w:p>
      <w:r>
        <w:rPr>
          <w:sz w:val="20"/>
        </w:rPr>
        <w:t>전사 정보자산(H/W, S/W, 데이터, 문서, 인원)</w:t>
      </w:r>
    </w:p>
    <w:p>
      <w:pPr>
        <w:pStyle w:val="Heading1"/>
      </w:pPr>
      <w:r>
        <w:rPr>
          <w:b/>
          <w:color w:val="1F3864"/>
          <w:sz w:val="24"/>
        </w:rPr>
        <w:t>3. 절차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13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45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활동 내용</w:t>
            </w:r>
          </w:p>
        </w:tc>
        <w:tc>
          <w:tcPr>
            <w:tcW w:type="dxa" w:w="170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담당</w:t>
            </w:r>
          </w:p>
        </w:tc>
        <w:tc>
          <w:tcPr>
            <w:tcW w:type="dxa" w:w="28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관련 기록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자산 식별 및 등록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IT팀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자산목록(ISMS-F-001)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자산 분류(기밀/대외비/일반)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부서장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자산분류표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보호조치 적용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IT팀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통제이행확인서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자산 변경 및 폐기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IT팀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폐기확인서(ISMS-F-006)</w:t>
            </w:r>
          </w:p>
        </w:tc>
      </w:tr>
    </w:tbl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