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ISMS-P-012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Rev.1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개인정보보호 연계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27001:2022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r>
        <w:rPr>
          <w:sz w:val="20"/>
        </w:rPr>
        <w:t>개인정보보호법과 ISMS 연계 관리 절차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r>
        <w:rPr>
          <w:sz w:val="20"/>
        </w:rPr>
        <w:t>개인정보 처리 전 부서</w:t>
      </w:r>
    </w:p>
    <w:p>
      <w:pPr>
        <w:pStyle w:val="Heading1"/>
      </w:pPr>
      <w:r>
        <w:rPr>
          <w:b/>
          <w:color w:val="1F3864"/>
          <w:sz w:val="24"/>
        </w:rPr>
        <w:t>3. 절차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13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45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활동 내용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담당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관련 기록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개인정보 처리현황 등록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개인정보보호책임자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처리현황대장(ISMS-F-020)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개인정보 영향평가(필요시)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전문기관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영향평가보고서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동의서·파기 관리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담당부서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동의서·파기확인서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개인정보 침해 신고(72시간 내)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개인정보보호책임자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신고접수증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