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ABMS-G-001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청탁금지법 실무 적용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부정청탁 및 금품 수수 금지에 관한 법률(청탁금지법) 실무 가이드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모든 임직원, 특히 공공기관 접촉 직원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부정청탁(Improper Solicitation)</w:t>
      </w:r>
    </w:p>
    <w:p>
      <w:pPr>
        <w:pStyle w:val="ListBullet"/>
        <w:ind w:left="283"/>
      </w:pPr>
      <w:r>
        <w:rPr>
          <w:sz w:val="20"/>
        </w:rPr>
        <w:t>금품등(Money and Valuables)</w:t>
      </w:r>
    </w:p>
    <w:p>
      <w:pPr>
        <w:pStyle w:val="ListBullet"/>
        <w:ind w:left="283"/>
      </w:pPr>
      <w:r>
        <w:rPr>
          <w:sz w:val="20"/>
        </w:rPr>
        <w:t>공직자(Public Official)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음식물: 3만원 이하, 선물: 5만원 이하(농축수산물 15만원), 경조사비: 5만원 이하. 초과 시 즉시 반환 또는 ABCO 신고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