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신고 채널 운영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익명 내부 신고 채널 운영 방법 및 제보자 보호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 및 이해관계자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익명성 보장(Anonymity)</w:t>
      </w:r>
    </w:p>
    <w:p>
      <w:pPr>
        <w:pStyle w:val="ListBullet"/>
        <w:ind w:left="283"/>
      </w:pPr>
      <w:r>
        <w:rPr>
          <w:sz w:val="20"/>
        </w:rPr>
        <w:t>보복 금지(Non-Retaliation)</w:t>
      </w:r>
    </w:p>
    <w:p>
      <w:pPr>
        <w:pStyle w:val="ListBullet"/>
        <w:ind w:left="283"/>
      </w:pPr>
      <w:r>
        <w:rPr>
          <w:sz w:val="20"/>
        </w:rPr>
        <w:t>신고 포상(Reporting Reward)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신고 방법: 전용 이메일(abms@hanypns.com), 우편, 현장 신고함. 접수 후 48시간 내 확인, 조사 기간 30일 이내, 제보자 신원 철저 보호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