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부패방지경영시스템 매뉴얼</w:t>
      </w:r>
    </w:p>
    <w:p>
      <w:pPr>
        <w:jc w:val="center"/>
      </w:pPr>
      <w:r>
        <w:rPr>
          <w:b w:val="0"/>
          <w:color w:val="1F3864"/>
          <w:sz w:val="26"/>
        </w:rPr>
        <w:t>Anti-Bribery Management System Manual</w:t>
      </w:r>
    </w:p>
    <w:p>
      <w:pPr>
        <w:jc w:val="center"/>
      </w:pPr>
      <w:r>
        <w:rPr>
          <w:b/>
          <w:color w:val="833C00"/>
          <w:sz w:val="28"/>
        </w:rPr>
        <w:t>ISO 37001:2016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833C00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t>ABMS-M-001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개정번호</w:t>
            </w:r>
          </w:p>
        </w:tc>
        <w:tc>
          <w:tcPr>
            <w:tcW w:type="dxa" w:w="4561"/>
          </w:tcPr>
          <w:p>
            <w:r>
              <w:t>Rev.0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적용규격</w:t>
            </w:r>
          </w:p>
        </w:tc>
        <w:tc>
          <w:tcPr>
            <w:tcW w:type="dxa" w:w="4561"/>
          </w:tcPr>
          <w:p>
            <w:r>
              <w:t>ISO 37001:2016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61"/>
          </w:tcPr>
          <w:p>
            <w:r>
              <w:t>2026-03-06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작성부서</w:t>
            </w:r>
          </w:p>
        </w:tc>
        <w:tc>
          <w:tcPr>
            <w:tcW w:type="dxa" w:w="4561"/>
          </w:tcPr>
          <w:p>
            <w:r>
              <w:t>기술연구소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검토자</w:t>
            </w:r>
          </w:p>
        </w:tc>
        <w:tc>
          <w:tcPr>
            <w:tcW w:type="dxa" w:w="4561"/>
          </w:tcPr>
          <w:p>
            <w:r>
              <w:t>기술연구소장</w:t>
            </w:r>
          </w:p>
        </w:tc>
      </w:tr>
      <w:tr>
        <w:tc>
          <w:tcPr>
            <w:tcW w:type="dxa" w:w="4561"/>
            <w:shd w:val="clear" w:color="auto" w:fill="833C00"/>
          </w:tcPr>
          <w:p>
            <w:r>
              <w:rPr>
                <w:b/>
                <w:color w:val="FFFFFF"/>
              </w:rPr>
              <w:t>승인자</w:t>
            </w:r>
          </w:p>
        </w:tc>
        <w:tc>
          <w:tcPr>
            <w:tcW w:type="dxa" w:w="4561"/>
          </w:tcPr>
          <w:p>
            <w: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부패방지방침 (Anti-Bribery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BE4D5"/>
          </w:tcPr>
          <w:p>
            <w:r>
              <w:t>(주)한영피엔에스는 청탁금지법, 공직자윤리법, 특정경제범죄법을 포함한 모든 국내외 반부패 법규를 철저히 준수하며, 어떠한 형태의 뇌물도 제공하거나 수수하지 않을 것을 명확히 선언합니다.</w:t>
              <w:br/>
              <w:br/>
              <w:t>당사는 임직원 및 이해관계자에게 부패방지 교육을 실시하고, 내부 신고 채널을 통해 모든 부패 행위를 차단합니다.</w:t>
              <w:br/>
              <w:br/>
              <w:t>대표이사  김윤섭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4. 조직상황</w:t>
      </w:r>
    </w:p>
    <w:p>
      <w:pPr>
        <w:pStyle w:val="ListBullet"/>
        <w:ind w:left="283"/>
      </w:pPr>
      <w:r>
        <w:rPr>
          <w:sz w:val="20"/>
        </w:rPr>
        <w:t>4.1 조직 이해 - 부패 위험 관련 내·외부 이슈 분석</w:t>
      </w:r>
    </w:p>
    <w:p>
      <w:pPr>
        <w:pStyle w:val="ListBullet"/>
        <w:ind w:left="283"/>
      </w:pPr>
      <w:r>
        <w:rPr>
          <w:sz w:val="20"/>
        </w:rPr>
        <w:t>4.2 이해관계자 요구사항 - 규제기관, 투자자, 협력업체 요구</w:t>
      </w:r>
    </w:p>
    <w:p>
      <w:pPr>
        <w:pStyle w:val="ListBullet"/>
        <w:ind w:left="283"/>
      </w:pPr>
      <w:r>
        <w:rPr>
          <w:sz w:val="20"/>
        </w:rPr>
        <w:t>4.3 ABMS 적용범위 - 전사, 해외 지사, 공급망 포함</w:t>
      </w:r>
    </w:p>
    <w:p>
      <w:pPr>
        <w:pStyle w:val="ListBullet"/>
        <w:ind w:left="283"/>
      </w:pPr>
      <w:r>
        <w:rPr>
          <w:sz w:val="20"/>
        </w:rPr>
        <w:t>4.4 부패방지 위험 평가 - 고위험 기능(구매·영업·공공조달) 집중 관리</w:t>
      </w:r>
    </w:p>
    <w:p/>
    <w:p>
      <w:pPr>
        <w:pStyle w:val="Heading1"/>
      </w:pPr>
      <w:r>
        <w:rPr>
          <w:b/>
          <w:color w:val="1F3864"/>
          <w:sz w:val="24"/>
        </w:rPr>
        <w:t>5. 리더십</w:t>
      </w:r>
    </w:p>
    <w:p>
      <w:pPr>
        <w:pStyle w:val="ListBullet"/>
        <w:ind w:left="283"/>
      </w:pPr>
      <w:r>
        <w:rPr>
          <w:sz w:val="20"/>
        </w:rPr>
        <w:t>5.1 리더십과 의지표명 - Zero Tolerance 원칙 천명</w:t>
      </w:r>
    </w:p>
    <w:p>
      <w:pPr>
        <w:pStyle w:val="ListBullet"/>
        <w:ind w:left="283"/>
      </w:pPr>
      <w:r>
        <w:rPr>
          <w:sz w:val="20"/>
        </w:rPr>
        <w:t>5.2 부패방지방침 - 법규 준수, 내부신고 보호, 위반 시 징계</w:t>
      </w:r>
    </w:p>
    <w:p>
      <w:pPr>
        <w:pStyle w:val="ListBullet"/>
        <w:ind w:left="283"/>
      </w:pPr>
      <w:r>
        <w:rPr>
          <w:sz w:val="20"/>
        </w:rPr>
        <w:t>5.3 반부패관리자(ABCO) 지정 및 역할 부여</w:t>
      </w:r>
    </w:p>
    <w:p/>
    <w:p>
      <w:pPr>
        <w:pStyle w:val="Heading1"/>
      </w:pPr>
      <w:r>
        <w:rPr>
          <w:b/>
          <w:color w:val="1F3864"/>
          <w:sz w:val="24"/>
        </w:rPr>
        <w:t>6. 기획</w:t>
      </w:r>
    </w:p>
    <w:p>
      <w:pPr>
        <w:pStyle w:val="ListBullet"/>
        <w:ind w:left="283"/>
      </w:pPr>
      <w:r>
        <w:rPr>
          <w:sz w:val="20"/>
        </w:rPr>
        <w:t>6.1 부패 리스크 평가 - 기능별·지역별 위험도 평가</w:t>
      </w:r>
    </w:p>
    <w:p>
      <w:pPr>
        <w:pStyle w:val="ListBullet"/>
        <w:ind w:left="283"/>
      </w:pPr>
      <w:r>
        <w:rPr>
          <w:sz w:val="20"/>
        </w:rPr>
        <w:t>6.2 실사(Due Diligence) - 고위험 거래 사전 검토</w:t>
      </w:r>
    </w:p>
    <w:p>
      <w:pPr>
        <w:pStyle w:val="ListBullet"/>
        <w:ind w:left="283"/>
      </w:pPr>
      <w:r>
        <w:rPr>
          <w:sz w:val="20"/>
        </w:rPr>
        <w:t>6.3 재무통제 - 의심 거래 모니터링</w:t>
      </w:r>
    </w:p>
    <w:p/>
    <w:p>
      <w:pPr>
        <w:pStyle w:val="Heading1"/>
      </w:pPr>
      <w:r>
        <w:rPr>
          <w:b/>
          <w:color w:val="1F3864"/>
          <w:sz w:val="24"/>
        </w:rPr>
        <w:t>7. 지원</w:t>
      </w:r>
    </w:p>
    <w:p>
      <w:pPr>
        <w:pStyle w:val="ListBullet"/>
        <w:ind w:left="283"/>
      </w:pPr>
      <w:r>
        <w:rPr>
          <w:sz w:val="20"/>
        </w:rPr>
        <w:t>7.1 자원 - 예산, ABCO 인력, 교육 시스템</w:t>
      </w:r>
    </w:p>
    <w:p>
      <w:pPr>
        <w:pStyle w:val="ListBullet"/>
        <w:ind w:left="283"/>
      </w:pPr>
      <w:r>
        <w:rPr>
          <w:sz w:val="20"/>
        </w:rPr>
        <w:t>7.2 역량 - ABCO 및 임직원 부패방지 역량 평가</w:t>
      </w:r>
    </w:p>
    <w:p>
      <w:pPr>
        <w:pStyle w:val="ListBullet"/>
        <w:ind w:left="283"/>
      </w:pPr>
      <w:r>
        <w:rPr>
          <w:sz w:val="20"/>
        </w:rPr>
        <w:t>7.3 인식 - 전임직원 필수 교육(연 1회 이상)</w:t>
      </w:r>
    </w:p>
    <w:p>
      <w:pPr>
        <w:pStyle w:val="ListBullet"/>
        <w:ind w:left="283"/>
      </w:pPr>
      <w:r>
        <w:rPr>
          <w:sz w:val="20"/>
        </w:rPr>
        <w:t>7.4 소통 - 부패 신고 채널(익명 보장)</w:t>
      </w:r>
    </w:p>
    <w:p/>
    <w:p>
      <w:pPr>
        <w:pStyle w:val="Heading1"/>
      </w:pPr>
      <w:r>
        <w:rPr>
          <w:b/>
          <w:color w:val="1F3864"/>
          <w:sz w:val="24"/>
        </w:rPr>
        <w:t>8. 운용</w:t>
      </w:r>
    </w:p>
    <w:p>
      <w:pPr>
        <w:pStyle w:val="ListBullet"/>
        <w:ind w:left="283"/>
      </w:pPr>
      <w:r>
        <w:rPr>
          <w:sz w:val="20"/>
        </w:rPr>
        <w:t>8.1 운용 기획 및 관리 - 부패방지 절차 수립</w:t>
      </w:r>
    </w:p>
    <w:p>
      <w:pPr>
        <w:pStyle w:val="ListBullet"/>
        <w:ind w:left="283"/>
      </w:pPr>
      <w:r>
        <w:rPr>
          <w:sz w:val="20"/>
        </w:rPr>
        <w:t>8.2 실사 - 협력업체·파트너 실사 절차</w:t>
      </w:r>
    </w:p>
    <w:p>
      <w:pPr>
        <w:pStyle w:val="ListBullet"/>
        <w:ind w:left="283"/>
      </w:pPr>
      <w:r>
        <w:rPr>
          <w:sz w:val="20"/>
        </w:rPr>
        <w:t>8.3 재무통제 - 비용 지출 승인 절차</w:t>
      </w:r>
    </w:p>
    <w:p>
      <w:pPr>
        <w:pStyle w:val="ListBullet"/>
        <w:ind w:left="283"/>
      </w:pPr>
      <w:r>
        <w:rPr>
          <w:sz w:val="20"/>
        </w:rPr>
        <w:t>8.4 비현금 선물·향응·기부금 통제 - 수수 금지 기준</w:t>
      </w:r>
    </w:p>
    <w:p>
      <w:pPr>
        <w:pStyle w:val="ListBullet"/>
        <w:ind w:left="283"/>
      </w:pPr>
      <w:r>
        <w:rPr>
          <w:sz w:val="20"/>
        </w:rPr>
        <w:t>8.5 부패방지 약정 체결 - 계약서 반부패 조항 포함</w:t>
      </w:r>
    </w:p>
    <w:p/>
    <w:p>
      <w:pPr>
        <w:pStyle w:val="Heading1"/>
      </w:pPr>
      <w:r>
        <w:rPr>
          <w:b/>
          <w:color w:val="1F3864"/>
          <w:sz w:val="24"/>
        </w:rPr>
        <w:t>9. 성과평가</w:t>
      </w:r>
    </w:p>
    <w:p>
      <w:pPr>
        <w:pStyle w:val="ListBullet"/>
        <w:ind w:left="283"/>
      </w:pPr>
      <w:r>
        <w:rPr>
          <w:sz w:val="20"/>
        </w:rPr>
        <w:t>9.1 모니터링 - 월별 신고 현황, 위험 지표 점검</w:t>
      </w:r>
    </w:p>
    <w:p>
      <w:pPr>
        <w:pStyle w:val="ListBullet"/>
        <w:ind w:left="283"/>
      </w:pPr>
      <w:r>
        <w:rPr>
          <w:sz w:val="20"/>
        </w:rPr>
        <w:t>9.2 내부심사 - 연 1회 ABMS 내부심사</w:t>
      </w:r>
    </w:p>
    <w:p>
      <w:pPr>
        <w:pStyle w:val="ListBullet"/>
        <w:ind w:left="283"/>
      </w:pPr>
      <w:r>
        <w:rPr>
          <w:sz w:val="20"/>
        </w:rPr>
        <w:t>9.3 경영검토 - 연 1회 부패방지 성과 검토</w:t>
      </w:r>
    </w:p>
    <w:p/>
    <w:p>
      <w:pPr>
        <w:pStyle w:val="Heading1"/>
      </w:pPr>
      <w:r>
        <w:rPr>
          <w:b/>
          <w:color w:val="1F3864"/>
          <w:sz w:val="24"/>
        </w:rPr>
        <w:t>10. 개선</w:t>
      </w:r>
    </w:p>
    <w:p>
      <w:pPr>
        <w:pStyle w:val="ListBullet"/>
        <w:ind w:left="283"/>
      </w:pPr>
      <w:r>
        <w:rPr>
          <w:sz w:val="20"/>
        </w:rPr>
        <w:t>10.1 부적합 및 시정조치 - 위반 적발 시 즉시 조사·징계</w:t>
      </w:r>
    </w:p>
    <w:p>
      <w:pPr>
        <w:pStyle w:val="ListBullet"/>
        <w:ind w:left="283"/>
      </w:pPr>
      <w:r>
        <w:rPr>
          <w:sz w:val="20"/>
        </w:rPr>
        <w:t>10.2 지속적 개선 - 법규 개정 반영, 고위험 분야 강화</w:t>
      </w:r>
    </w:p>
    <w:p/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