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ABMS-P-001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부패방지 리스크 평가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37001:2016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뇌물·부패 위험을 체계적으로 식별·평가·관리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전사 모든 기능, 특히 구매·영업·공공조달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뇌물(Bribery)</w:t>
      </w:r>
    </w:p>
    <w:p>
      <w:pPr>
        <w:pStyle w:val="ListBullet"/>
        <w:ind w:left="283"/>
      </w:pPr>
      <w:r>
        <w:rPr>
          <w:sz w:val="20"/>
        </w:rPr>
        <w:t>부패(Corruption)</w:t>
      </w:r>
    </w:p>
    <w:p>
      <w:pPr>
        <w:pStyle w:val="ListBullet"/>
        <w:ind w:left="283"/>
      </w:pPr>
      <w:r>
        <w:rPr>
          <w:sz w:val="20"/>
        </w:rPr>
        <w:t>고위험기능(High-Risk Function)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ABCO: 리스크 평가 주관</w:t>
      </w:r>
    </w:p>
    <w:p>
      <w:pPr>
        <w:pStyle w:val="ListBullet"/>
        <w:ind w:left="283"/>
      </w:pPr>
      <w:r>
        <w:rPr>
          <w:sz w:val="20"/>
        </w:rPr>
        <w:t>부서장: 부서별 리스크 제공</w:t>
      </w:r>
    </w:p>
    <w:p>
      <w:pPr>
        <w:pStyle w:val="ListBullet"/>
        <w:ind w:left="283"/>
      </w:pPr>
      <w:r>
        <w:rPr>
          <w:sz w:val="20"/>
        </w:rPr>
        <w:t>대표이사: 고위험 승인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기능별 부패 위험 식별 → 가능성·영향도 평가 → 위험도 매핑 → 대응 계획 수립 → 모니터링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ABMS-F-001_부패리스크평가표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ABMS-P-002</w:t>
      </w:r>
    </w:p>
    <w:p>
      <w:pPr>
        <w:pStyle w:val="ListBullet"/>
        <w:ind w:left="283"/>
      </w:pPr>
      <w:r>
        <w:rPr>
          <w:sz w:val="20"/>
        </w:rPr>
        <w:t>ABMS-P-003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