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9120"/>
            <w:gridSpan w:val="4"/>
            <w:shd w:val="clear" w:color="auto" w:fill="EBF3FB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12000" cy="15460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1546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1F3864"/>
                <w:sz w:val="22"/>
              </w:rPr>
              <w:tab/>
              <w:tab/>
              <w:tab/>
              <w:t>(주)한영피엔에스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ABMS-P-003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개정번호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Rev.0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문서명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선물·접대·기부 통제 절차서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작성일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2026-03-06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작성부서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관련 ISO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ISO 37001:2016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검토자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기술연구소장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승인자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대표이사  김윤섭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mp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1"/>
      </w:pPr>
      <w:r>
        <w:rPr>
          <w:b/>
          <w:color w:val="1F3864"/>
          <w:sz w:val="24"/>
        </w:rPr>
        <w:t>1. 목적</w:t>
      </w:r>
    </w:p>
    <w:p>
      <w:pPr>
        <w:spacing w:after="80"/>
        <w:ind w:left="0"/>
      </w:pPr>
      <w:r>
        <w:rPr>
          <w:sz w:val="20"/>
        </w:rPr>
        <w:t>뇌물로 해석될 수 있는 선물·향응·기부금 통제</w:t>
      </w:r>
    </w:p>
    <w:p>
      <w:pPr>
        <w:pStyle w:val="Heading1"/>
      </w:pPr>
      <w:r>
        <w:rPr>
          <w:b/>
          <w:color w:val="1F3864"/>
          <w:sz w:val="24"/>
        </w:rPr>
        <w:t>2. 적용범위</w:t>
      </w:r>
    </w:p>
    <w:p>
      <w:pPr>
        <w:spacing w:after="80"/>
        <w:ind w:left="0"/>
      </w:pPr>
      <w:r>
        <w:rPr>
          <w:sz w:val="20"/>
        </w:rPr>
        <w:t>전 임직원 및 이해관계자</w:t>
      </w:r>
    </w:p>
    <w:p>
      <w:pPr>
        <w:pStyle w:val="Heading1"/>
      </w:pPr>
      <w:r>
        <w:rPr>
          <w:b/>
          <w:color w:val="1F3864"/>
          <w:sz w:val="24"/>
        </w:rPr>
        <w:t>3. 용어 및 정의</w:t>
      </w:r>
    </w:p>
    <w:p>
      <w:pPr>
        <w:pStyle w:val="ListBullet"/>
        <w:ind w:left="283"/>
      </w:pPr>
      <w:r>
        <w:rPr>
          <w:sz w:val="20"/>
        </w:rPr>
        <w:t>부정청탁(Improper Solicitation)</w:t>
      </w:r>
    </w:p>
    <w:p>
      <w:pPr>
        <w:pStyle w:val="ListBullet"/>
        <w:ind w:left="283"/>
      </w:pPr>
      <w:r>
        <w:rPr>
          <w:sz w:val="20"/>
        </w:rPr>
        <w:t>청탁금지법(Anti-Graft Act)</w:t>
      </w:r>
    </w:p>
    <w:p>
      <w:pPr>
        <w:pStyle w:val="Heading1"/>
      </w:pPr>
      <w:r>
        <w:rPr>
          <w:b/>
          <w:color w:val="1F3864"/>
          <w:sz w:val="24"/>
        </w:rPr>
        <w:t>4. 책임과 권한</w:t>
      </w:r>
    </w:p>
    <w:p>
      <w:pPr>
        <w:pStyle w:val="ListBullet"/>
        <w:ind w:left="283"/>
      </w:pPr>
      <w:r>
        <w:rPr>
          <w:sz w:val="20"/>
        </w:rPr>
        <w:t>ABCO: 기준 수립 및 모니터링</w:t>
      </w:r>
    </w:p>
    <w:p>
      <w:pPr>
        <w:pStyle w:val="ListBullet"/>
        <w:ind w:left="283"/>
      </w:pPr>
      <w:r>
        <w:rPr>
          <w:sz w:val="20"/>
        </w:rPr>
        <w:t>임직원: 수수 내역 보고</w:t>
      </w:r>
    </w:p>
    <w:p>
      <w:pPr>
        <w:pStyle w:val="ListBullet"/>
        <w:ind w:left="283"/>
      </w:pPr>
      <w:r>
        <w:rPr>
          <w:sz w:val="20"/>
        </w:rPr>
        <w:t>인사부: 위반 시 징계</w:t>
      </w:r>
    </w:p>
    <w:p>
      <w:pPr>
        <w:pStyle w:val="Heading1"/>
      </w:pPr>
      <w:r>
        <w:rPr>
          <w:b/>
          <w:color w:val="1F3864"/>
          <w:sz w:val="24"/>
        </w:rPr>
        <w:t>5. 절차내용</w:t>
      </w:r>
    </w:p>
    <w:p>
      <w:pPr>
        <w:spacing w:after="80"/>
        <w:ind w:left="0"/>
      </w:pPr>
      <w:r>
        <w:rPr>
          <w:sz w:val="20"/>
        </w:rPr>
        <w:t>수수 가능 기준(5만원 이하 선물, 3만원 이하 식사) 준수 → 초과 시 ABCO 사전 승인 → 기록 유지</w:t>
      </w:r>
    </w:p>
    <w:p>
      <w:pPr>
        <w:pStyle w:val="Heading1"/>
      </w:pPr>
      <w:r>
        <w:rPr>
          <w:b/>
          <w:color w:val="1F3864"/>
          <w:sz w:val="24"/>
        </w:rPr>
        <w:t>6. 관련기록</w:t>
      </w:r>
    </w:p>
    <w:p>
      <w:pPr>
        <w:pStyle w:val="ListBullet"/>
        <w:ind w:left="283"/>
      </w:pPr>
      <w:r>
        <w:rPr>
          <w:sz w:val="20"/>
        </w:rPr>
        <w:t>ABMS-F-003_선물접대기록</w:t>
      </w:r>
    </w:p>
    <w:p>
      <w:pPr>
        <w:pStyle w:val="Heading1"/>
      </w:pPr>
      <w:r>
        <w:rPr>
          <w:b/>
          <w:color w:val="1F3864"/>
          <w:sz w:val="24"/>
        </w:rPr>
        <w:t>7. 관련문서</w:t>
      </w:r>
    </w:p>
    <w:p>
      <w:pPr>
        <w:pStyle w:val="ListBullet"/>
        <w:ind w:left="283"/>
      </w:pPr>
      <w:r>
        <w:rPr>
          <w:sz w:val="20"/>
        </w:rPr>
        <w:t>ABMS-P-001</w:t>
      </w:r>
    </w:p>
    <w:p>
      <w:pPr>
        <w:pStyle w:val="ListBullet"/>
        <w:ind w:left="283"/>
      </w:pPr>
      <w:r>
        <w:rPr>
          <w:sz w:val="20"/>
        </w:rPr>
        <w:t>ABMS-P-004</w:t>
      </w:r>
    </w:p>
    <w:sectPr w:rsidR="00FC693F" w:rsidRPr="0006063C" w:rsidSect="00034616">
      <w:headerReference w:type="default" r:id="rId9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387286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7286" cy="396000"/>
                  </a:xfrm>
                  <a:prstGeom prst="rect"/>
                </pic:spPr>
              </pic:pic>
            </a:graphicData>
          </a:graphic>
        </wp:inline>
      </w:drawing>
    </w:r>
    <w:r>
      <w:tab/>
      <w:tab/>
    </w:r>
    <w:r>
      <w:rPr>
        <w:b/>
        <w:color w:val="1F3864"/>
        <w:sz w:val="16"/>
      </w:rPr>
      <w:t>(주)한영피엔에스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