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ABMS-P-005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재무통제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37001:2016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부패·뇌물 관련 의심 재무 거래 예방 및 탐지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구매, 영업, 경리 관련 모든 거래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재무통제(Financial Control)</w:t>
      </w:r>
    </w:p>
    <w:p>
      <w:pPr>
        <w:pStyle w:val="ListBullet"/>
        <w:ind w:left="283"/>
      </w:pPr>
      <w:r>
        <w:rPr>
          <w:sz w:val="20"/>
        </w:rPr>
        <w:t>의심거래(Suspicious Transaction)</w:t>
      </w:r>
    </w:p>
    <w:p>
      <w:pPr>
        <w:pStyle w:val="ListBullet"/>
        <w:ind w:left="283"/>
      </w:pPr>
      <w:r>
        <w:rPr>
          <w:sz w:val="20"/>
        </w:rPr>
        <w:t>이중승인(Dual Authorization)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CFO: 재무통제 총괄</w:t>
      </w:r>
    </w:p>
    <w:p>
      <w:pPr>
        <w:pStyle w:val="ListBullet"/>
        <w:ind w:left="283"/>
      </w:pPr>
      <w:r>
        <w:rPr>
          <w:sz w:val="20"/>
        </w:rPr>
        <w:t>경리담당자: 거래 기록</w:t>
      </w:r>
    </w:p>
    <w:p>
      <w:pPr>
        <w:pStyle w:val="ListBullet"/>
        <w:ind w:left="283"/>
      </w:pPr>
      <w:r>
        <w:rPr>
          <w:sz w:val="20"/>
        </w:rPr>
        <w:t>ABCO: 모니터링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모든 비용 지출 시 승인 절차 준수 → 고액 거래 이중 승인 → 영수증 첨부 의무 → 분기별 ABCO 검토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ABMS-F-006_비용지출승인서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ABMS-P-003</w:t>
      </w:r>
    </w:p>
    <w:p>
      <w:pPr>
        <w:pStyle w:val="ListBullet"/>
        <w:ind w:left="283"/>
      </w:pPr>
      <w:r>
        <w:rPr>
          <w:sz w:val="20"/>
        </w:rPr>
        <w:t>ABMS-P-007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