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ABMS-P-006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부패방지 교육훈련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37001:2016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임직원 부패방지 역량 강화 및 윤리 문화 조성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전 임직원(계약직·파견직 포함)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필수교육(Mandatory Training)</w:t>
      </w:r>
    </w:p>
    <w:p>
      <w:pPr>
        <w:pStyle w:val="ListBullet"/>
        <w:ind w:left="283"/>
      </w:pPr>
      <w:r>
        <w:rPr>
          <w:sz w:val="20"/>
        </w:rPr>
        <w:t>역할별교육(Role-Based Training)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ABCO: 교육 내용 수립</w:t>
      </w:r>
    </w:p>
    <w:p>
      <w:pPr>
        <w:pStyle w:val="ListBullet"/>
        <w:ind w:left="283"/>
      </w:pPr>
      <w:r>
        <w:rPr>
          <w:sz w:val="20"/>
        </w:rPr>
        <w:t>인사부: 교육 계획 실행</w:t>
      </w:r>
    </w:p>
    <w:p>
      <w:pPr>
        <w:pStyle w:val="ListBullet"/>
        <w:ind w:left="283"/>
      </w:pPr>
      <w:r>
        <w:rPr>
          <w:sz w:val="20"/>
        </w:rPr>
        <w:t>부서장: 참여 독려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연간 교육 계획 수립 → 온라인/집합 교육 실시 → 이수 확인 → 미이수자 보충 교육 → 기록 보관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ABMS-F-007_교육이력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CMS-P-004</w:t>
      </w:r>
    </w:p>
    <w:p>
      <w:pPr>
        <w:pStyle w:val="ListBullet"/>
        <w:ind w:left="283"/>
      </w:pPr>
      <w:r>
        <w:rPr>
          <w:sz w:val="20"/>
        </w:rPr>
        <w:t>ABMS-P-007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