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개인정보보호 실무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개인정보보호법 실무 적용 가이드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개인정보 취급 모든 직원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수집·이용 동의</w:t>
      </w:r>
    </w:p>
    <w:p>
      <w:pPr>
        <w:pStyle w:val="ListBullet"/>
        <w:ind w:left="283"/>
      </w:pPr>
      <w:r>
        <w:rPr>
          <w:sz w:val="20"/>
        </w:rPr>
        <w:t>파기(Disposal)</w:t>
      </w:r>
    </w:p>
    <w:p>
      <w:pPr>
        <w:pStyle w:val="ListBullet"/>
        <w:ind w:left="283"/>
      </w:pPr>
      <w:r>
        <w:rPr>
          <w:sz w:val="20"/>
        </w:rPr>
        <w:t>개인정보영향평가(PIA)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개인정보 최소 수집 원칙, 동의서 필수 징구, 파기 기준: 보존기간 만료 후 30일 내, PIA 대상 여부 사전 검토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