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40"/>
        </w:rPr>
        <w:t>(주)한영피엔에스</w:t>
      </w:r>
    </w:p>
    <w:p>
      <w:pPr>
        <w:jc w:val="center"/>
      </w:pPr>
      <w:r>
        <w:rPr>
          <w:b/>
          <w:color w:val="1F3864"/>
          <w:sz w:val="52"/>
        </w:rPr>
        <w:t>준법경영시스템 매뉴얼</w:t>
      </w:r>
    </w:p>
    <w:p>
      <w:pPr>
        <w:jc w:val="center"/>
      </w:pPr>
      <w:r>
        <w:rPr>
          <w:b w:val="0"/>
          <w:color w:val="1F3864"/>
          <w:sz w:val="26"/>
        </w:rPr>
        <w:t>Compliance Management System Manual</w:t>
      </w:r>
    </w:p>
    <w:p>
      <w:pPr>
        <w:jc w:val="center"/>
      </w:pPr>
      <w:r>
        <w:rPr>
          <w:b/>
          <w:color w:val="7030A0"/>
          <w:sz w:val="28"/>
        </w:rPr>
        <w:t>ISO 37301:2021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7030A0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  <w:tc>
          <w:tcPr>
            <w:tcW w:type="dxa" w:w="4561"/>
          </w:tcPr>
          <w:p>
            <w:r>
              <w:t>CMS-M-001</w:t>
            </w:r>
          </w:p>
        </w:tc>
      </w:tr>
      <w:tr>
        <w:tc>
          <w:tcPr>
            <w:tcW w:type="dxa" w:w="4561"/>
            <w:shd w:val="clear" w:color="auto" w:fill="7030A0"/>
          </w:tcPr>
          <w:p>
            <w:r>
              <w:rPr>
                <w:b/>
                <w:color w:val="FFFFFF"/>
              </w:rPr>
              <w:t>개정번호</w:t>
            </w:r>
          </w:p>
        </w:tc>
        <w:tc>
          <w:tcPr>
            <w:tcW w:type="dxa" w:w="4561"/>
          </w:tcPr>
          <w:p>
            <w:r>
              <w:t>Rev.0</w:t>
            </w:r>
          </w:p>
        </w:tc>
      </w:tr>
      <w:tr>
        <w:tc>
          <w:tcPr>
            <w:tcW w:type="dxa" w:w="4561"/>
            <w:shd w:val="clear" w:color="auto" w:fill="7030A0"/>
          </w:tcPr>
          <w:p>
            <w:r>
              <w:rPr>
                <w:b/>
                <w:color w:val="FFFFFF"/>
              </w:rPr>
              <w:t>적용규격</w:t>
            </w:r>
          </w:p>
        </w:tc>
        <w:tc>
          <w:tcPr>
            <w:tcW w:type="dxa" w:w="4561"/>
          </w:tcPr>
          <w:p>
            <w:r>
              <w:t>ISO 37301:2021</w:t>
            </w:r>
          </w:p>
        </w:tc>
      </w:tr>
      <w:tr>
        <w:tc>
          <w:tcPr>
            <w:tcW w:type="dxa" w:w="4561"/>
            <w:shd w:val="clear" w:color="auto" w:fill="7030A0"/>
          </w:tcPr>
          <w:p>
            <w:r>
              <w:rPr>
                <w:b/>
                <w:color w:val="FFFFFF"/>
              </w:rPr>
              <w:t>작성일</w:t>
            </w:r>
          </w:p>
        </w:tc>
        <w:tc>
          <w:tcPr>
            <w:tcW w:type="dxa" w:w="4561"/>
          </w:tcPr>
          <w:p>
            <w:r>
              <w:t>2026-03-06</w:t>
            </w:r>
          </w:p>
        </w:tc>
      </w:tr>
      <w:tr>
        <w:tc>
          <w:tcPr>
            <w:tcW w:type="dxa" w:w="4561"/>
            <w:shd w:val="clear" w:color="auto" w:fill="7030A0"/>
          </w:tcPr>
          <w:p>
            <w:r>
              <w:rPr>
                <w:b/>
                <w:color w:val="FFFFFF"/>
              </w:rPr>
              <w:t>작성부서</w:t>
            </w:r>
          </w:p>
        </w:tc>
        <w:tc>
          <w:tcPr>
            <w:tcW w:type="dxa" w:w="4561"/>
          </w:tcPr>
          <w:p>
            <w:r>
              <w:t>기술연구소</w:t>
            </w:r>
          </w:p>
        </w:tc>
      </w:tr>
      <w:tr>
        <w:tc>
          <w:tcPr>
            <w:tcW w:type="dxa" w:w="4561"/>
            <w:shd w:val="clear" w:color="auto" w:fill="7030A0"/>
          </w:tcPr>
          <w:p>
            <w:r>
              <w:rPr>
                <w:b/>
                <w:color w:val="FFFFFF"/>
              </w:rPr>
              <w:t>검토자</w:t>
            </w:r>
          </w:p>
        </w:tc>
        <w:tc>
          <w:tcPr>
            <w:tcW w:type="dxa" w:w="4561"/>
          </w:tcPr>
          <w:p>
            <w:r>
              <w:t>기술연구소장</w:t>
            </w:r>
          </w:p>
        </w:tc>
      </w:tr>
      <w:tr>
        <w:tc>
          <w:tcPr>
            <w:tcW w:type="dxa" w:w="4561"/>
            <w:shd w:val="clear" w:color="auto" w:fill="7030A0"/>
          </w:tcPr>
          <w:p>
            <w:r>
              <w:rPr>
                <w:b/>
                <w:color w:val="FFFFFF"/>
              </w:rPr>
              <w:t>승인자</w:t>
            </w:r>
          </w:p>
        </w:tc>
        <w:tc>
          <w:tcPr>
            <w:tcW w:type="dxa" w:w="4561"/>
          </w:tcPr>
          <w:p>
            <w: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준법경영방침 (Compliance Policy)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DE7F6"/>
          </w:tcPr>
          <w:p>
            <w:r>
              <w:t>(주)한영피엔에스는 공정거래법, 개인정보보호법, 환경법, 노동법 등 관련 법규를 철저히 준수하고 윤리적 기업 문화를 조성하기 위해 ISO 37301:2021 기반 준법경영시스템을 구축·운영합니다.</w:t>
              <w:br/>
              <w:br/>
              <w:t>당사는 임직원 교육, 준법 모니터링, 위반 예방 활동을 통해 지속 가능한 준법경영을 실현합니다.</w:t>
              <w:br/>
              <w:br/>
              <w:t>대표이사  김윤섭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4. 조직상황</w:t>
      </w:r>
    </w:p>
    <w:p>
      <w:pPr>
        <w:pStyle w:val="ListBullet"/>
        <w:ind w:left="283"/>
      </w:pPr>
      <w:r>
        <w:rPr>
          <w:sz w:val="20"/>
        </w:rPr>
        <w:t>4.1 조직과 조직상황 이해 - 내·외부 이슈 분석(공정거래법, 개인정보보호법, 환경법, 노동법)</w:t>
      </w:r>
    </w:p>
    <w:p>
      <w:pPr>
        <w:pStyle w:val="ListBullet"/>
        <w:ind w:left="283"/>
      </w:pPr>
      <w:r>
        <w:rPr>
          <w:sz w:val="20"/>
        </w:rPr>
        <w:t>4.2 이해관계자 이해 - 규제기관, 고객, 임직원, 주주의 요구사항 파악</w:t>
      </w:r>
    </w:p>
    <w:p>
      <w:pPr>
        <w:pStyle w:val="ListBullet"/>
        <w:ind w:left="283"/>
      </w:pPr>
      <w:r>
        <w:rPr>
          <w:sz w:val="20"/>
        </w:rPr>
        <w:t>4.3 적용범위 결정 - 전사 적용, 자회사 포함</w:t>
      </w:r>
    </w:p>
    <w:p>
      <w:pPr>
        <w:pStyle w:val="ListBullet"/>
        <w:ind w:left="283"/>
      </w:pPr>
      <w:r>
        <w:rPr>
          <w:sz w:val="20"/>
        </w:rPr>
        <w:t>4.4 준법경영시스템 수립·실행·유지·지속개선</w:t>
      </w:r>
    </w:p>
    <w:p/>
    <w:p>
      <w:pPr>
        <w:pStyle w:val="Heading1"/>
      </w:pPr>
      <w:r>
        <w:rPr>
          <w:b/>
          <w:color w:val="1F3864"/>
          <w:sz w:val="24"/>
        </w:rPr>
        <w:t>5. 리더십</w:t>
      </w:r>
    </w:p>
    <w:p>
      <w:pPr>
        <w:pStyle w:val="ListBullet"/>
        <w:ind w:left="283"/>
      </w:pPr>
      <w:r>
        <w:rPr>
          <w:sz w:val="20"/>
        </w:rPr>
        <w:t>5.1 리더십과 의지표명 - 최고경영자의 준법경영 의지 표명 및 자원 제공</w:t>
      </w:r>
    </w:p>
    <w:p>
      <w:pPr>
        <w:pStyle w:val="ListBullet"/>
        <w:ind w:left="283"/>
      </w:pPr>
      <w:r>
        <w:rPr>
          <w:sz w:val="20"/>
        </w:rPr>
        <w:t>5.2 준법경영방침 - 법규 준수 원칙, 윤리 문화 조성, 위반 제재</w:t>
      </w:r>
    </w:p>
    <w:p>
      <w:pPr>
        <w:pStyle w:val="ListBullet"/>
        <w:ind w:left="283"/>
      </w:pPr>
      <w:r>
        <w:rPr>
          <w:sz w:val="20"/>
        </w:rPr>
        <w:t>5.3 역할·책임·권한 - 준법관리자 지정, RACI 정의</w:t>
      </w:r>
    </w:p>
    <w:p/>
    <w:p>
      <w:pPr>
        <w:pStyle w:val="Heading1"/>
      </w:pPr>
      <w:r>
        <w:rPr>
          <w:b/>
          <w:color w:val="1F3864"/>
          <w:sz w:val="24"/>
        </w:rPr>
        <w:t>6. 기획</w:t>
      </w:r>
    </w:p>
    <w:p>
      <w:pPr>
        <w:pStyle w:val="ListBullet"/>
        <w:ind w:left="283"/>
      </w:pPr>
      <w:r>
        <w:rPr>
          <w:sz w:val="20"/>
        </w:rPr>
        <w:t>6.1 리스크 및 기회 - 법규 위반 위험 식별·평가·대응(공정거래/개인정보/환경/노동)</w:t>
      </w:r>
    </w:p>
    <w:p>
      <w:pPr>
        <w:pStyle w:val="ListBullet"/>
        <w:ind w:left="283"/>
      </w:pPr>
      <w:r>
        <w:rPr>
          <w:sz w:val="20"/>
        </w:rPr>
        <w:t>6.2 준법경영 목표 - KPI: 법규 위반 건수 Zero, 교육 이수율 100%</w:t>
      </w:r>
    </w:p>
    <w:p>
      <w:pPr>
        <w:pStyle w:val="ListBullet"/>
        <w:ind w:left="283"/>
      </w:pPr>
      <w:r>
        <w:rPr>
          <w:sz w:val="20"/>
        </w:rPr>
        <w:t>6.3 준법경영 변경 기획</w:t>
      </w:r>
    </w:p>
    <w:p/>
    <w:p>
      <w:pPr>
        <w:pStyle w:val="Heading1"/>
      </w:pPr>
      <w:r>
        <w:rPr>
          <w:b/>
          <w:color w:val="1F3864"/>
          <w:sz w:val="24"/>
        </w:rPr>
        <w:t>7. 지원</w:t>
      </w:r>
    </w:p>
    <w:p>
      <w:pPr>
        <w:pStyle w:val="ListBullet"/>
        <w:ind w:left="283"/>
      </w:pPr>
      <w:r>
        <w:rPr>
          <w:sz w:val="20"/>
        </w:rPr>
        <w:t>7.1 자원 - 예산, 인력, IT 시스템 지원</w:t>
      </w:r>
    </w:p>
    <w:p>
      <w:pPr>
        <w:pStyle w:val="ListBullet"/>
        <w:ind w:left="283"/>
      </w:pPr>
      <w:r>
        <w:rPr>
          <w:sz w:val="20"/>
        </w:rPr>
        <w:t>7.2 역량 - 준법 담당자 교육 이력관리</w:t>
      </w:r>
    </w:p>
    <w:p>
      <w:pPr>
        <w:pStyle w:val="ListBullet"/>
        <w:ind w:left="283"/>
      </w:pPr>
      <w:r>
        <w:rPr>
          <w:sz w:val="20"/>
        </w:rPr>
        <w:t>7.3 인식 - 전임직원 준법 교육</w:t>
      </w:r>
    </w:p>
    <w:p>
      <w:pPr>
        <w:pStyle w:val="ListBullet"/>
        <w:ind w:left="283"/>
      </w:pPr>
      <w:r>
        <w:rPr>
          <w:sz w:val="20"/>
        </w:rPr>
        <w:t>7.4 소통 - 내부 준법 채널, 익명 신고 채널</w:t>
      </w:r>
    </w:p>
    <w:p>
      <w:pPr>
        <w:pStyle w:val="ListBullet"/>
        <w:ind w:left="283"/>
      </w:pPr>
      <w:r>
        <w:rPr>
          <w:sz w:val="20"/>
        </w:rPr>
        <w:t>7.5 문서화된 정보 - 문서 관리, 기록 보존</w:t>
      </w:r>
    </w:p>
    <w:p/>
    <w:p>
      <w:pPr>
        <w:pStyle w:val="Heading1"/>
      </w:pPr>
      <w:r>
        <w:rPr>
          <w:b/>
          <w:color w:val="1F3864"/>
          <w:sz w:val="24"/>
        </w:rPr>
        <w:t>8. 운용</w:t>
      </w:r>
    </w:p>
    <w:p>
      <w:pPr>
        <w:pStyle w:val="ListBullet"/>
        <w:ind w:left="283"/>
      </w:pPr>
      <w:r>
        <w:rPr>
          <w:sz w:val="20"/>
        </w:rPr>
        <w:t>8.1 운용 기획 및 관리 - 준법 프로세스 정의 및 실행</w:t>
      </w:r>
    </w:p>
    <w:p>
      <w:pPr>
        <w:pStyle w:val="ListBullet"/>
        <w:ind w:left="283"/>
      </w:pPr>
      <w:r>
        <w:rPr>
          <w:sz w:val="20"/>
        </w:rPr>
        <w:t>8.2 준법 리스크 평가 및 실사 - CP 등급평가, 법규 모니터링</w:t>
      </w:r>
    </w:p>
    <w:p>
      <w:pPr>
        <w:pStyle w:val="ListBullet"/>
        <w:ind w:left="283"/>
      </w:pPr>
      <w:r>
        <w:rPr>
          <w:sz w:val="20"/>
        </w:rPr>
        <w:t>8.3 고충처리 채널 - 익명 제보 처리 절차, 제보자 보호</w:t>
      </w:r>
    </w:p>
    <w:p/>
    <w:p>
      <w:pPr>
        <w:pStyle w:val="Heading1"/>
      </w:pPr>
      <w:r>
        <w:rPr>
          <w:b/>
          <w:color w:val="1F3864"/>
          <w:sz w:val="24"/>
        </w:rPr>
        <w:t>9. 성과평가</w:t>
      </w:r>
    </w:p>
    <w:p>
      <w:pPr>
        <w:pStyle w:val="ListBullet"/>
        <w:ind w:left="283"/>
      </w:pPr>
      <w:r>
        <w:rPr>
          <w:sz w:val="20"/>
        </w:rPr>
        <w:t>9.1 모니터링·측정·분석·평가 - 월별 준법 KPI 점검</w:t>
      </w:r>
    </w:p>
    <w:p>
      <w:pPr>
        <w:pStyle w:val="ListBullet"/>
        <w:ind w:left="283"/>
      </w:pPr>
      <w:r>
        <w:rPr>
          <w:sz w:val="20"/>
        </w:rPr>
        <w:t>9.2 내부심사 - 연 1회 이상 준법경영시스템 내부심사</w:t>
      </w:r>
    </w:p>
    <w:p>
      <w:pPr>
        <w:pStyle w:val="ListBullet"/>
        <w:ind w:left="283"/>
      </w:pPr>
      <w:r>
        <w:rPr>
          <w:sz w:val="20"/>
        </w:rPr>
        <w:t>9.3 경영검토 - 연 1회 준법경영 성과 경영진 보고</w:t>
      </w:r>
    </w:p>
    <w:p/>
    <w:p>
      <w:pPr>
        <w:pStyle w:val="Heading1"/>
      </w:pPr>
      <w:r>
        <w:rPr>
          <w:b/>
          <w:color w:val="1F3864"/>
          <w:sz w:val="24"/>
        </w:rPr>
        <w:t>10. 개선</w:t>
      </w:r>
    </w:p>
    <w:p>
      <w:pPr>
        <w:pStyle w:val="ListBullet"/>
        <w:ind w:left="283"/>
      </w:pPr>
      <w:r>
        <w:rPr>
          <w:sz w:val="20"/>
        </w:rPr>
        <w:t>10.1 부적합 및 시정조치 - 위반 발생 시 즉시 시정 및 재발 방지</w:t>
      </w:r>
    </w:p>
    <w:p>
      <w:pPr>
        <w:pStyle w:val="ListBullet"/>
        <w:ind w:left="283"/>
      </w:pPr>
      <w:r>
        <w:rPr>
          <w:sz w:val="20"/>
        </w:rPr>
        <w:t>10.2 지속적 개선 - 법규 개정 모니터링, 시스템 업데이트</w:t>
      </w:r>
    </w:p>
    <w:p/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