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준법 모니터링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준법경영시스템 운영 현황을 정기적으로 모니터링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전사 준법 활동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모니터링(Monitoring)</w:t>
      </w:r>
    </w:p>
    <w:p>
      <w:pPr>
        <w:pStyle w:val="ListBullet"/>
        <w:ind w:left="283"/>
      </w:pPr>
      <w:r>
        <w:rPr>
          <w:sz w:val="20"/>
        </w:rPr>
        <w:t>KPI(Key Performance Indicator)</w:t>
      </w:r>
    </w:p>
    <w:p>
      <w:pPr>
        <w:pStyle w:val="ListBullet"/>
        <w:ind w:left="283"/>
      </w:pPr>
      <w:r>
        <w:rPr>
          <w:sz w:val="20"/>
        </w:rPr>
        <w:t>준법지수(Compliance Index)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월별 KPI 집계 및 보고</w:t>
      </w:r>
    </w:p>
    <w:p>
      <w:pPr>
        <w:pStyle w:val="ListBullet"/>
        <w:ind w:left="283"/>
      </w:pPr>
      <w:r>
        <w:rPr>
          <w:sz w:val="20"/>
        </w:rPr>
        <w:t>기술연구소장: 분기 리뷰</w:t>
      </w:r>
    </w:p>
    <w:p>
      <w:pPr>
        <w:pStyle w:val="ListBullet"/>
        <w:ind w:left="283"/>
      </w:pPr>
      <w:r>
        <w:rPr>
          <w:sz w:val="20"/>
        </w:rPr>
        <w:t>대표이사: 연간 경영검토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KPI 수집(월1회) → 분석 → 편차 원인 분석 → 개선조치 → 경영진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CMS-F-005_준법KPI현황표</w:t>
      </w:r>
    </w:p>
    <w:p>
      <w:pPr>
        <w:pStyle w:val="ListBullet"/>
        <w:ind w:left="283"/>
      </w:pPr>
      <w:r>
        <w:rPr>
          <w:sz w:val="20"/>
        </w:rPr>
        <w:t>CMS-F-006_모니터링결과보고서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CMS-P-002</w:t>
      </w:r>
    </w:p>
    <w:p>
      <w:pPr>
        <w:pStyle w:val="ListBullet"/>
        <w:ind w:left="283"/>
      </w:pPr>
      <w:r>
        <w:rPr>
          <w:sz w:val="20"/>
        </w:rPr>
        <w:t>CMS-P-007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