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신고 및 제보 처리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준법 위반 신고 채널 운영 및 제보자 보호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 및 이해관계자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내부신고(Internal Reporting)</w:t>
      </w:r>
    </w:p>
    <w:p>
      <w:pPr>
        <w:pStyle w:val="ListBullet"/>
        <w:ind w:left="283"/>
      </w:pPr>
      <w:r>
        <w:rPr>
          <w:sz w:val="20"/>
        </w:rPr>
        <w:t>익명제보(Anonymous Tip)</w:t>
      </w:r>
    </w:p>
    <w:p>
      <w:pPr>
        <w:pStyle w:val="ListBullet"/>
        <w:ind w:left="283"/>
      </w:pPr>
      <w:r>
        <w:rPr>
          <w:sz w:val="20"/>
        </w:rPr>
        <w:t>제보자보호(Whistleblower Protection)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준법관리자: 신고 접수 및 조사</w:t>
      </w:r>
    </w:p>
    <w:p>
      <w:pPr>
        <w:pStyle w:val="ListBullet"/>
        <w:ind w:left="283"/>
      </w:pPr>
      <w:r>
        <w:rPr>
          <w:sz w:val="20"/>
        </w:rPr>
        <w:t>인사부: 제보자 보호 조치</w:t>
      </w:r>
    </w:p>
    <w:p>
      <w:pPr>
        <w:pStyle w:val="ListBullet"/>
        <w:ind w:left="283"/>
      </w:pPr>
      <w:r>
        <w:rPr>
          <w:sz w:val="20"/>
        </w:rPr>
        <w:t>대표이사: 중요 사안 최종 처리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신고 접수(익명채널 포함) → 접수 확인(3영업일 내) → 조사 실시 → 조치 → 피드백 제공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CMS-F-013_신고접수대장</w:t>
      </w:r>
    </w:p>
    <w:p>
      <w:pPr>
        <w:pStyle w:val="ListBullet"/>
        <w:ind w:left="283"/>
      </w:pPr>
      <w:r>
        <w:rPr>
          <w:sz w:val="20"/>
        </w:rPr>
        <w:t>CMS-F-014_조사결과보고서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CMS-P-004</w:t>
      </w:r>
    </w:p>
    <w:p>
      <w:pPr>
        <w:pStyle w:val="ListBullet"/>
        <w:ind w:left="283"/>
      </w:pPr>
      <w:r>
        <w:rPr>
          <w:sz w:val="20"/>
        </w:rPr>
        <w:t>CMS-P-008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