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부적합 및 시정조치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준법 위반 및 부적합 사항의 시정·예방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준법경영시스템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부적합(Nonconformity)</w:t>
      </w:r>
    </w:p>
    <w:p>
      <w:pPr>
        <w:pStyle w:val="ListBullet"/>
        <w:ind w:left="283"/>
      </w:pPr>
      <w:r>
        <w:rPr>
          <w:sz w:val="20"/>
        </w:rPr>
        <w:t>시정조치(Corrective Action)</w:t>
      </w:r>
    </w:p>
    <w:p>
      <w:pPr>
        <w:pStyle w:val="ListBullet"/>
        <w:ind w:left="283"/>
      </w:pPr>
      <w:r>
        <w:rPr>
          <w:sz w:val="20"/>
        </w:rPr>
        <w:t>근본원인분석(Root Cause Analysis)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준법관리자: 시정조치 총괄</w:t>
      </w:r>
    </w:p>
    <w:p>
      <w:pPr>
        <w:pStyle w:val="ListBullet"/>
        <w:ind w:left="283"/>
      </w:pPr>
      <w:r>
        <w:rPr>
          <w:sz w:val="20"/>
        </w:rPr>
        <w:t>부서장: 원인분석 및 조치 실행</w:t>
      </w:r>
    </w:p>
    <w:p>
      <w:pPr>
        <w:pStyle w:val="ListBullet"/>
        <w:ind w:left="283"/>
      </w:pPr>
      <w:r>
        <w:rPr>
          <w:sz w:val="20"/>
        </w:rPr>
        <w:t>기술연구소장: 효과성 검증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부적합 식별 → 즉각 시정 → 근본 원인 분석 → 시정조치 계획 수립 → 실행 → 효과성 검증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CMS-F-015_시정조치요청서</w:t>
      </w:r>
    </w:p>
    <w:p>
      <w:pPr>
        <w:pStyle w:val="ListBullet"/>
        <w:ind w:left="283"/>
      </w:pPr>
      <w:r>
        <w:rPr>
          <w:sz w:val="20"/>
        </w:rPr>
        <w:t>CMS-F-016_부적합관리대장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CMS-P-003</w:t>
      </w:r>
    </w:p>
    <w:p>
      <w:pPr>
        <w:pStyle w:val="ListBullet"/>
        <w:ind w:left="283"/>
      </w:pPr>
      <w:r>
        <w:rPr>
          <w:sz w:val="20"/>
        </w:rPr>
        <w:t>CMS-P-007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