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OH-G-005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비계·고소작업 안전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비계·고소작업 안전 지침서의 세부 실행 방법과 안전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본사 및 전 사업장 해당 작업</w:t>
      </w:r>
    </w:p>
    <w:p>
      <w:pPr>
        <w:pStyle w:val="Heading1"/>
      </w:pPr>
      <w:r>
        <w:rPr>
          <w:b/>
          <w:color w:val="1F3864"/>
          <w:sz w:val="24"/>
        </w:rPr>
        <w:t>3. 세부 안전 지침</w:t>
      </w:r>
    </w:p>
    <w:p>
      <w:pPr>
        <w:spacing w:after="80"/>
        <w:ind w:left="0"/>
      </w:pPr>
      <w:r>
        <w:rPr>
          <w:sz w:val="20"/>
        </w:rPr>
        <w:t>2m 이상 고소작업 및 비계 작업에 대한 안전 기준. 안전대 착용 필수(2m 이상). 비계 설치·해체: 자격자 작업. 작업발판: 250kg/㎡ 이상 지지력. 추락방지망 설치. 작업 전 비계 구조 검토. 강풍(10m/s 이상) 시 작업 중지. PTW 발행 필수.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안전 양식 참조 (OH-F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OH-M-001 안전보건경영시스템 매뉴얼</w:t>
        <w:br/>
        <w:t>ISO 45001:2018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