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경영검토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9.3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최고경영자가 OH&amp;SMS의 지속적 적합성·충족성·효과성을 보장한다.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OH&amp;SMS 전체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연 1회 대표이사 주관 경영검토</w:t>
      </w:r>
    </w:p>
    <w:p>
      <w:pPr>
        <w:pStyle w:val="ListBullet"/>
        <w:ind w:left="283"/>
      </w:pPr>
      <w:r>
        <w:rPr>
          <w:sz w:val="20"/>
        </w:rPr>
        <w:t>2) 입력: 법규 준수 현황, 안전보건목표 달성, 사고·아차사고 통계, 내부심사 결과, 위험성평가 현황</w:t>
      </w:r>
    </w:p>
    <w:p>
      <w:pPr>
        <w:pStyle w:val="ListBullet"/>
        <w:ind w:left="283"/>
      </w:pPr>
      <w:r>
        <w:rPr>
          <w:sz w:val="20"/>
        </w:rPr>
        <w:t>3) 출력: 개선 기회, 자원 필요사항, 방침·목표 변경</w:t>
      </w:r>
    </w:p>
    <w:p>
      <w:pPr>
        <w:pStyle w:val="ListBullet"/>
        <w:ind w:left="283"/>
      </w:pPr>
      <w:r>
        <w:rPr>
          <w:sz w:val="20"/>
        </w:rPr>
        <w:t>4) 결과 문서화 및 조치 추적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OH-F-020 경영검토 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