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QMS-G-004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불량품 처리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8.7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불량품 처리 지침서의 세부 실행 방법과 기준을 제공하여 업무의 일관성과 품질을 보장한다.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부서 및 관련 업무에 적용한다.</w:t>
      </w:r>
    </w:p>
    <w:p>
      <w:pPr>
        <w:pStyle w:val="Heading1"/>
      </w:pPr>
      <w:r>
        <w:rPr>
          <w:b/>
          <w:color w:val="1F3864"/>
          <w:sz w:val="24"/>
        </w:rPr>
        <w:t>3. 세부 지침 내용</w:t>
      </w:r>
    </w:p>
    <w:p>
      <w:pPr>
        <w:spacing w:after="80"/>
        <w:ind w:left="0"/>
      </w:pPr>
      <w:r>
        <w:rPr>
          <w:sz w:val="20"/>
        </w:rPr>
        <w:t>불량품 발견 즉시 붉은 태그(Red Tag) 부착 후 격리 구역으로 이동. 불량 유형: ①수리 가능 → 재작업 후 재검사 ②수리 불가 → 폐기 ③특채 → 고객 승인 후 출하. 폐기 시 폐기 확인서 작성. 모든 불량품 처리는 NCR(QMS-F-005)에 기록.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및 기록 (관련 절차서 참조)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QMS-M-001 품질경영시스템 매뉴얼</w:t>
        <w:br/>
        <w:t>ISO 9001:2015 8.7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