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40"/>
        </w:rPr>
        <w:t>(주)한영피엔에스</w:t>
      </w:r>
    </w:p>
    <w:p>
      <w:pPr>
        <w:jc w:val="center"/>
      </w:pPr>
      <w:r>
        <w:rPr>
          <w:b/>
          <w:color w:val="1F3864"/>
          <w:sz w:val="52"/>
        </w:rPr>
        <w:t>품질경영시스템 매뉴얼</w:t>
      </w:r>
    </w:p>
    <w:p>
      <w:pPr>
        <w:jc w:val="center"/>
      </w:pPr>
      <w:r>
        <w:rPr>
          <w:color w:val="2E75B6"/>
          <w:sz w:val="28"/>
        </w:rPr>
        <w:t>Quality Management System Manual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QMS-M-001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개정번호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Rev.0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적용규격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ISO 9001:2015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2026-03-06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작성부서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기술연구소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검토자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기술연구소장</w:t>
            </w:r>
          </w:p>
        </w:tc>
      </w:tr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승인자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개정일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개정 내용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승인자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Rev.0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2026-03-06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최초 제정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대표이사  김윤섭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목차</w:t>
      </w:r>
    </w:p>
    <w:p>
      <w:pPr>
        <w:pStyle w:val="ListBullet"/>
        <w:ind w:left="283"/>
      </w:pPr>
      <w:r>
        <w:rPr>
          <w:sz w:val="20"/>
        </w:rPr>
        <w:t>제1장  회사 소개</w:t>
      </w:r>
    </w:p>
    <w:p>
      <w:pPr>
        <w:pStyle w:val="ListBullet"/>
        <w:ind w:left="283"/>
      </w:pPr>
      <w:r>
        <w:rPr>
          <w:sz w:val="20"/>
        </w:rPr>
        <w:t>제2장  적용범위</w:t>
      </w:r>
    </w:p>
    <w:p>
      <w:pPr>
        <w:pStyle w:val="ListBullet"/>
        <w:ind w:left="283"/>
      </w:pPr>
      <w:r>
        <w:rPr>
          <w:sz w:val="20"/>
        </w:rPr>
        <w:t>제3장  인용표준</w:t>
      </w:r>
    </w:p>
    <w:p>
      <w:pPr>
        <w:pStyle w:val="ListBullet"/>
        <w:ind w:left="283"/>
      </w:pPr>
      <w:r>
        <w:rPr>
          <w:sz w:val="20"/>
        </w:rPr>
        <w:t>제4장  용어 및 정의</w:t>
      </w:r>
    </w:p>
    <w:p>
      <w:pPr>
        <w:pStyle w:val="ListBullet"/>
        <w:ind w:left="283"/>
      </w:pPr>
      <w:r>
        <w:rPr>
          <w:sz w:val="20"/>
        </w:rPr>
        <w:t>제5장  조직상황 (4조)</w:t>
      </w:r>
    </w:p>
    <w:p>
      <w:pPr>
        <w:pStyle w:val="ListBullet"/>
        <w:ind w:left="283"/>
      </w:pPr>
      <w:r>
        <w:rPr>
          <w:sz w:val="20"/>
        </w:rPr>
        <w:t>제6장  리더십 (5조)</w:t>
      </w:r>
    </w:p>
    <w:p>
      <w:pPr>
        <w:pStyle w:val="ListBullet"/>
        <w:ind w:left="283"/>
      </w:pPr>
      <w:r>
        <w:rPr>
          <w:sz w:val="20"/>
        </w:rPr>
        <w:t>제7장  기획 (6조)</w:t>
      </w:r>
    </w:p>
    <w:p>
      <w:pPr>
        <w:pStyle w:val="ListBullet"/>
        <w:ind w:left="283"/>
      </w:pPr>
      <w:r>
        <w:rPr>
          <w:sz w:val="20"/>
        </w:rPr>
        <w:t>제8장  지원 (7조)</w:t>
      </w:r>
    </w:p>
    <w:p>
      <w:pPr>
        <w:pStyle w:val="ListBullet"/>
        <w:ind w:left="283"/>
      </w:pPr>
      <w:r>
        <w:rPr>
          <w:sz w:val="20"/>
        </w:rPr>
        <w:t>제9장  운용 (8조)</w:t>
      </w:r>
    </w:p>
    <w:p>
      <w:pPr>
        <w:pStyle w:val="ListBullet"/>
        <w:ind w:left="283"/>
      </w:pPr>
      <w:r>
        <w:rPr>
          <w:sz w:val="20"/>
        </w:rPr>
        <w:t>제10장 성과평가 (9조)</w:t>
      </w:r>
    </w:p>
    <w:p>
      <w:pPr>
        <w:pStyle w:val="ListBullet"/>
        <w:ind w:left="283"/>
      </w:pPr>
      <w:r>
        <w:rPr>
          <w:sz w:val="20"/>
        </w:rPr>
        <w:t>제11장 개선 (10조)</w:t>
      </w:r>
    </w:p>
    <w:p>
      <w:pPr>
        <w:pStyle w:val="ListBullet"/>
        <w:ind w:left="283"/>
      </w:pPr>
      <w:r>
        <w:rPr>
          <w:sz w:val="20"/>
        </w:rPr>
        <w:t>부록 A. 품질방침 선언문</w:t>
      </w:r>
    </w:p>
    <w:p>
      <w:pPr>
        <w:pStyle w:val="ListBullet"/>
        <w:ind w:left="283"/>
      </w:pPr>
      <w:r>
        <w:rPr>
          <w:sz w:val="20"/>
        </w:rPr>
        <w:t>부록 B. 품질목표 관리표</w:t>
      </w:r>
    </w:p>
    <w:p>
      <w:pPr>
        <w:pStyle w:val="ListBullet"/>
        <w:ind w:left="283"/>
      </w:pPr>
      <w:r>
        <w:rPr>
          <w:sz w:val="20"/>
        </w:rPr>
        <w:t>부록 C. 조직도 및 책임·권한</w:t>
      </w:r>
    </w:p>
    <w:p>
      <w:pPr>
        <w:pStyle w:val="ListBullet"/>
        <w:ind w:left="283"/>
      </w:pPr>
      <w:r>
        <w:rPr>
          <w:sz w:val="20"/>
        </w:rPr>
        <w:t>부록 D. 프로세스 맵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제1장  회사 소개</w:t>
      </w:r>
    </w:p>
    <w:p>
      <w:pPr>
        <w:spacing w:after="80"/>
        <w:ind w:left="0"/>
      </w:pPr>
      <w:r>
        <w:rPr>
          <w:sz w:val="20"/>
        </w:rPr>
        <w:t>회사명: (주)한영피엔에스</w:t>
      </w:r>
    </w:p>
    <w:p>
      <w:pPr>
        <w:spacing w:after="80"/>
        <w:ind w:left="0"/>
      </w:pPr>
      <w:r>
        <w:rPr>
          <w:sz w:val="20"/>
        </w:rPr>
        <w:t>사업장: 본사 및 3개 협력사업장</w:t>
      </w:r>
    </w:p>
    <w:p>
      <w:pPr>
        <w:spacing w:after="80"/>
        <w:ind w:left="0"/>
      </w:pPr>
      <w:r>
        <w:rPr>
          <w:sz w:val="20"/>
        </w:rPr>
        <w:t>주요 제품·서비스: 삼성전자 생활가전 부품 제조 및 공급</w:t>
      </w:r>
    </w:p>
    <w:p>
      <w:pPr>
        <w:spacing w:after="80"/>
        <w:ind w:left="0"/>
      </w:pPr>
      <w:r>
        <w:rPr>
          <w:sz w:val="20"/>
        </w:rPr>
        <w:t>대표이사: 김윤섭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제2장  적용범위</w:t>
      </w:r>
    </w:p>
    <w:p>
      <w:pPr>
        <w:spacing w:after="80"/>
        <w:ind w:left="0"/>
      </w:pPr>
      <w:r>
        <w:rPr>
          <w:sz w:val="20"/>
        </w:rPr>
        <w:t>본 매뉴얼은 (주)한영피엔에스의 삼성전자 생활가전 부품 설계·개발·제조·납품에 관한 모든 프로세스에 적용한다.</w:t>
      </w:r>
    </w:p>
    <w:p>
      <w:pPr>
        <w:spacing w:after="80"/>
        <w:ind w:left="0"/>
      </w:pPr>
      <w:r>
        <w:rPr>
          <w:sz w:val="20"/>
        </w:rPr>
        <w:t>제외사항: 해당 없음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제3장  인용표준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표준번호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표준명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적용범위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ISO 9001:2015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품질경영시스템 – 요구사항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전체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ISO 9000:2015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품질경영시스템 – 기본사항과 어휘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용어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ISO 9004:2018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조직의 지속적 성공을 위한 경영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참고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제4장  용어 및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품질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제품·서비스가 요구사항을 충족하는 정도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품질경영시스템(QMS)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품질과 관련된 목표를 달성하기 위한 경영시스템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부적합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요구사항을 충족하지 못함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시정조치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부적합의 원인을 제거하기 위한 조치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리스크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불확실성의 영향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프로세스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입력을 출력으로 변환하는 상호 관련된 활동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이해관계자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의사결정 또는 활동에 영향을 주거나 받을 수 있는 개인 또는 조직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고객만족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고객의 기대가 충족된 정도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제5장  조직상황 (ISO 9001:2015 제4조)</w:t>
      </w:r>
    </w:p>
    <w:p>
      <w:pPr>
        <w:pStyle w:val="Heading2"/>
      </w:pPr>
      <w:r>
        <w:rPr>
          <w:b/>
          <w:color w:val="2E75B6"/>
          <w:sz w:val="22"/>
        </w:rPr>
        <w:t>5.1  조직과 조직상황의 이해 (4.1)</w:t>
      </w:r>
    </w:p>
    <w:p>
      <w:pPr>
        <w:spacing w:after="80"/>
        <w:ind w:left="0"/>
      </w:pPr>
      <w:r>
        <w:rPr>
          <w:sz w:val="20"/>
        </w:rPr>
        <w:t>(주)한영피엔에스는 조직의 목적 및 전략적 방향에 관련된 내·외부 이슈를 파악하고, QMS에 영향을 주는 요인을 지속적으로 모니터링한다.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모니터링 주기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내부이슈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조직문화, 인적자원, 기술수준, 재무상태, 내부 프로세스 성과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분기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외부이슈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고객요구, 시장경쟁, 법규·규제, 기술환경, 경제동향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반기</w:t>
            </w:r>
          </w:p>
        </w:tc>
      </w:tr>
    </w:tbl>
    <w:p/>
    <w:p>
      <w:pPr>
        <w:pStyle w:val="Heading2"/>
      </w:pPr>
      <w:r>
        <w:rPr>
          <w:b/>
          <w:color w:val="2E75B6"/>
          <w:sz w:val="22"/>
        </w:rPr>
        <w:t>5.2  이해관계자의 니즈와 기대 이해 (4.2)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이해관계자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니즈와 기대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충족 방법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삼성전자(고객)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품질, 납기, 가격 경쟁력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SRM 품질관리, 정기협력업체 미팅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임직원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안전한 근무환경, 능력개발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교육훈련, 복리후생 강화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주주·경영진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수익성, 지속성장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경영검토, KPI 달성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공급자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공정한 거래, 장기계약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공급자 평가, 파트너십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정부·규제기관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법규 준수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법규 모니터링, 준수 평가</w:t>
            </w:r>
          </w:p>
        </w:tc>
      </w:tr>
    </w:tbl>
    <w:p/>
    <w:p>
      <w:pPr>
        <w:pStyle w:val="Heading2"/>
      </w:pPr>
      <w:r>
        <w:rPr>
          <w:b/>
          <w:color w:val="2E75B6"/>
          <w:sz w:val="22"/>
        </w:rPr>
        <w:t>5.3  QMS 적용범위 결정 (4.3)</w:t>
      </w:r>
    </w:p>
    <w:p>
      <w:pPr>
        <w:spacing w:after="80"/>
        <w:ind w:left="0"/>
      </w:pPr>
      <w:r>
        <w:rPr>
          <w:sz w:val="20"/>
        </w:rPr>
        <w:t>삼성전자 생활가전 부품의 설계·개발(8.3), 제조(8.5), 검사(8.6), 납품(8.5.5) 전 프로세스. 단, 외부 물류는 적용범위 제외.</w:t>
      </w:r>
    </w:p>
    <w:p>
      <w:pPr>
        <w:pStyle w:val="Heading2"/>
      </w:pPr>
      <w:r>
        <w:rPr>
          <w:b/>
          <w:color w:val="2E75B6"/>
          <w:sz w:val="22"/>
        </w:rPr>
        <w:t>5.4  품질경영시스템 및 그 프로세스 (4.4)</w:t>
      </w:r>
    </w:p>
    <w:p>
      <w:pPr>
        <w:spacing w:after="80"/>
        <w:ind w:left="0"/>
      </w:pPr>
      <w:r>
        <w:rPr>
          <w:sz w:val="20"/>
        </w:rPr>
        <w:t>조직은 QMS와 그 프로세스를 수립·실행·유지·지속적으로 개선한다. 각 프로세스에 대해 입력·출력·순서·상호작용·자원·책임·리스크·기회·KPI를 결정한다.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제6장  리더십 (ISO 9001:2015 제5조)</w:t>
      </w:r>
    </w:p>
    <w:p>
      <w:pPr>
        <w:pStyle w:val="Heading2"/>
      </w:pPr>
      <w:r>
        <w:rPr>
          <w:b/>
          <w:color w:val="2E75B6"/>
          <w:sz w:val="22"/>
        </w:rPr>
        <w:t>6.1  리더십과 의지표명 (5.1)</w:t>
      </w:r>
    </w:p>
    <w:p>
      <w:pPr>
        <w:spacing w:after="80"/>
        <w:ind w:left="0"/>
      </w:pPr>
      <w:r>
        <w:rPr>
          <w:sz w:val="20"/>
        </w:rPr>
        <w:t>최고경영자는 QMS에 대한 리더십과 의지표명을 다음 행동으로 실증한다:</w:t>
      </w:r>
    </w:p>
    <w:p>
      <w:pPr>
        <w:pStyle w:val="ListBullet"/>
        <w:ind w:left="283"/>
      </w:pPr>
      <w:r>
        <w:rPr>
          <w:sz w:val="20"/>
        </w:rPr>
        <w:t>품질방침 및 품질목표 수립</w:t>
      </w:r>
    </w:p>
    <w:p>
      <w:pPr>
        <w:pStyle w:val="ListBullet"/>
        <w:ind w:left="283"/>
      </w:pPr>
      <w:r>
        <w:rPr>
          <w:sz w:val="20"/>
        </w:rPr>
        <w:t>QMS 요구사항의 조직 내 통합</w:t>
      </w:r>
    </w:p>
    <w:p>
      <w:pPr>
        <w:pStyle w:val="ListBullet"/>
        <w:ind w:left="283"/>
      </w:pPr>
      <w:r>
        <w:rPr>
          <w:sz w:val="20"/>
        </w:rPr>
        <w:t>프로세스 접근법 및 리스크 기반 사고 촉진</w:t>
      </w:r>
    </w:p>
    <w:p>
      <w:pPr>
        <w:pStyle w:val="ListBullet"/>
        <w:ind w:left="283"/>
      </w:pPr>
      <w:r>
        <w:rPr>
          <w:sz w:val="20"/>
        </w:rPr>
        <w:t>필요 자원의 확보</w:t>
      </w:r>
    </w:p>
    <w:p>
      <w:pPr>
        <w:pStyle w:val="ListBullet"/>
        <w:ind w:left="283"/>
      </w:pPr>
      <w:r>
        <w:rPr>
          <w:sz w:val="20"/>
        </w:rPr>
        <w:t>품질경영시스템의 효과성 의사소통</w:t>
      </w:r>
    </w:p>
    <w:p>
      <w:pPr>
        <w:pStyle w:val="Heading2"/>
      </w:pPr>
      <w:r>
        <w:rPr>
          <w:b/>
          <w:color w:val="2E75B6"/>
          <w:sz w:val="22"/>
        </w:rPr>
        <w:t>6.2  품질방침 (5.2)</w:t>
      </w:r>
    </w:p>
    <w:p>
      <w:pPr>
        <w:jc w:val="center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BF3FB"/>
          </w:tcPr>
          <w:p>
            <w:pPr>
              <w:jc w:val="center"/>
            </w:pPr>
            <w:r>
              <w:rPr>
                <w:b/>
                <w:color w:val="1F3864"/>
                <w:sz w:val="26"/>
              </w:rPr>
              <w:t>【 품질방침 】</w:t>
              <w:br/>
            </w:r>
            <w:r>
              <w:rPr>
                <w:sz w:val="22"/>
              </w:rPr>
              <w:t>(주)한영피엔에스는 고객 최우선의 품질경영을 실현하고,</w:t>
              <w:br/>
              <w:t>지속적인 개선을 통해 최고의 제품과 서비스를 제공하며,</w:t>
              <w:br/>
              <w:t>임직원의 역량을 최대화하여 기업 가치를 높이고</w:t>
              <w:br/>
              <w:t>지속가능한 성장을 추구한다.</w:t>
            </w:r>
          </w:p>
          <w:p>
            <w:pPr>
              <w:jc w:val="right"/>
            </w:pPr>
            <w:r>
              <w:rPr>
                <w:sz w:val="20"/>
              </w:rPr>
              <w:br/>
              <w:t>대표이사  김윤섭  2026-03-06</w:t>
            </w:r>
          </w:p>
        </w:tc>
      </w:tr>
    </w:tbl>
    <w:p>
      <w:pPr>
        <w:pStyle w:val="Heading2"/>
      </w:pPr>
      <w:r>
        <w:rPr>
          <w:b/>
          <w:color w:val="2E75B6"/>
          <w:sz w:val="22"/>
        </w:rPr>
        <w:t>6.3  조직의 역할, 책임 및 권한 (5.3)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직책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04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책임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대표이사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QMS 최종 책임, 자원 제공, 경영검토 주관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QMS 전체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품질방침 시행, 내부심사 관리, QMS 유지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QMS 운영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품질팀장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검사·측정, 부적합 관리, 고객불만 처리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품질보증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생산팀장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생산계획 달성, 공정품질 관리, WI 준수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제조품질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구매팀장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공급자 평가, 수입검사, 외주 관리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구매품질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제7장  기획 (ISO 9001:2015 제6조)</w:t>
      </w:r>
    </w:p>
    <w:p>
      <w:pPr>
        <w:pStyle w:val="Heading2"/>
      </w:pPr>
      <w:r>
        <w:rPr>
          <w:b/>
          <w:color w:val="2E75B6"/>
          <w:sz w:val="22"/>
        </w:rPr>
        <w:t>7.1  리스크와 기회 (6.1)</w:t>
      </w:r>
    </w:p>
    <w:p>
      <w:pPr>
        <w:spacing w:after="80"/>
        <w:ind w:left="0"/>
      </w:pPr>
      <w:r>
        <w:rPr>
          <w:sz w:val="20"/>
        </w:rPr>
        <w:t>조직은 SWOT/PESTLE 분석을 통해 리스크와 기회를 파악하고, 연 1회 이상 리스크 평가표를 갱신한다.</w:t>
      </w:r>
    </w:p>
    <w:p>
      <w:pPr>
        <w:pStyle w:val="Heading2"/>
      </w:pPr>
      <w:r>
        <w:rPr>
          <w:b/>
          <w:color w:val="2E75B6"/>
          <w:sz w:val="22"/>
        </w:rPr>
        <w:t>7.2  품질목표 및 달성 계획 (6.2)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품질목표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지표(KPI)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목표값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담당부서</w:t>
            </w:r>
          </w:p>
        </w:tc>
        <w:tc>
          <w:tcPr>
            <w:tcW w:type="dxa" w:w="182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측정주기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고객불만 감소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클레임 건수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 3건 이하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품질팀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납기준수율 향상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납기준수율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98% 이상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생산팀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불량률 감소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공정불량률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0.5% 이하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생산팀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월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공급자 품질향상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공급자 평가점수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85점 이상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구매팀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반기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교육훈련 이수율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교육이수율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인사팀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제8장  지원 (ISO 9001:2015 제7조)</w:t>
      </w:r>
    </w:p>
    <w:p>
      <w:pPr>
        <w:pStyle w:val="Heading2"/>
      </w:pPr>
      <w:r>
        <w:rPr>
          <w:b/>
          <w:color w:val="2E75B6"/>
          <w:sz w:val="22"/>
        </w:rPr>
        <w:t>8.1 자원 (7.1)</w:t>
      </w:r>
    </w:p>
    <w:p>
      <w:pPr>
        <w:spacing w:after="80"/>
        <w:ind w:left="0"/>
      </w:pPr>
      <w:r>
        <w:rPr>
          <w:sz w:val="20"/>
        </w:rPr>
        <w:t>조직은 QMS 수립·실행·유지·개선에 필요한 인적·인프라·환경·모니터링 자원을 결정하고 제공한다.</w:t>
      </w:r>
    </w:p>
    <w:p>
      <w:pPr>
        <w:pStyle w:val="Heading2"/>
      </w:pPr>
      <w:r>
        <w:rPr>
          <w:b/>
          <w:color w:val="2E75B6"/>
          <w:sz w:val="22"/>
        </w:rPr>
        <w:t>8.2 역량 (7.2)</w:t>
      </w:r>
    </w:p>
    <w:p>
      <w:pPr>
        <w:spacing w:after="80"/>
        <w:ind w:left="0"/>
      </w:pPr>
      <w:r>
        <w:rPr>
          <w:sz w:val="20"/>
        </w:rPr>
        <w:t>직원 채용·배치 시 필요 역량을 정의하고, 교육훈련을 통해 역량을 확보하며 직무능력 평가를 실시한다.</w:t>
      </w:r>
    </w:p>
    <w:p>
      <w:pPr>
        <w:pStyle w:val="Heading2"/>
      </w:pPr>
      <w:r>
        <w:rPr>
          <w:b/>
          <w:color w:val="2E75B6"/>
          <w:sz w:val="22"/>
        </w:rPr>
        <w:t>8.3 인식 (7.3)</w:t>
      </w:r>
    </w:p>
    <w:p>
      <w:pPr>
        <w:spacing w:after="80"/>
        <w:ind w:left="0"/>
      </w:pPr>
      <w:r>
        <w:rPr>
          <w:sz w:val="20"/>
        </w:rPr>
        <w:t>전 직원은 품질방침, 품질목표, QMS에 대한 기여도, 부적합 발생 시 처리절차를 인식한다.</w:t>
      </w:r>
    </w:p>
    <w:p>
      <w:pPr>
        <w:pStyle w:val="Heading2"/>
      </w:pPr>
      <w:r>
        <w:rPr>
          <w:b/>
          <w:color w:val="2E75B6"/>
          <w:sz w:val="22"/>
        </w:rPr>
        <w:t>8.4 의사소통 (7.4)</w:t>
      </w:r>
    </w:p>
    <w:p>
      <w:pPr>
        <w:spacing w:after="80"/>
        <w:ind w:left="0"/>
      </w:pPr>
      <w:r>
        <w:rPr>
          <w:sz w:val="20"/>
        </w:rPr>
        <w:t>품질방침, 품질목표, QMS 관련 정보는 사내게시판·조회·이메일·경영검토를 통해 공유된다.</w:t>
      </w:r>
    </w:p>
    <w:p>
      <w:pPr>
        <w:pStyle w:val="Heading2"/>
      </w:pPr>
      <w:r>
        <w:rPr>
          <w:b/>
          <w:color w:val="2E75B6"/>
          <w:sz w:val="22"/>
        </w:rPr>
        <w:t>8.5 문서화된 정보 (7.5)</w:t>
      </w:r>
    </w:p>
    <w:p>
      <w:pPr>
        <w:spacing w:after="80"/>
        <w:ind w:left="0"/>
      </w:pPr>
      <w:r>
        <w:rPr>
          <w:sz w:val="20"/>
        </w:rPr>
        <w:t>QMS 문서는 4계층(매뉴얼-절차서-지침서-양식) 체계로 관리되며, 문서관리 절차서(QMS-P-001)에 따라 작성·검토·승인·배포·개정·폐기된다.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제9장  운용 (ISO 9001:2015 제8조)</w:t>
      </w:r>
    </w:p>
    <w:p>
      <w:pPr>
        <w:pStyle w:val="Heading2"/>
      </w:pPr>
      <w:r>
        <w:rPr>
          <w:b/>
          <w:color w:val="2E75B6"/>
          <w:sz w:val="22"/>
        </w:rPr>
        <w:t>9.1 운용 기획 및 통제 (8.1)</w:t>
      </w:r>
    </w:p>
    <w:p>
      <w:pPr>
        <w:spacing w:after="80"/>
        <w:ind w:left="0"/>
      </w:pPr>
      <w:r>
        <w:rPr>
          <w:sz w:val="20"/>
        </w:rPr>
        <w:t>제품·서비스 제공에 필요한 프로세스를 계획하고, 변경사항을 통제한다.</w:t>
      </w:r>
    </w:p>
    <w:p>
      <w:pPr>
        <w:pStyle w:val="Heading2"/>
      </w:pPr>
      <w:r>
        <w:rPr>
          <w:b/>
          <w:color w:val="2E75B6"/>
          <w:sz w:val="22"/>
        </w:rPr>
        <w:t>9.2 고객 요구사항 결정 (8.2.2)</w:t>
      </w:r>
    </w:p>
    <w:p>
      <w:pPr>
        <w:spacing w:after="80"/>
        <w:ind w:left="0"/>
      </w:pPr>
      <w:r>
        <w:rPr>
          <w:sz w:val="20"/>
        </w:rPr>
        <w:t>삼성전자 SRM 요구사항, 법적·규제적 요구사항을 검토하고 계약검토를 실시한다.</w:t>
      </w:r>
    </w:p>
    <w:p>
      <w:pPr>
        <w:pStyle w:val="Heading2"/>
      </w:pPr>
      <w:r>
        <w:rPr>
          <w:b/>
          <w:color w:val="2E75B6"/>
          <w:sz w:val="22"/>
        </w:rPr>
        <w:t>9.3 설계 및 개발 (8.3)</w:t>
      </w:r>
    </w:p>
    <w:p>
      <w:pPr>
        <w:spacing w:after="80"/>
        <w:ind w:left="0"/>
      </w:pPr>
      <w:r>
        <w:rPr>
          <w:sz w:val="20"/>
        </w:rPr>
        <w:t>신제품 설계·개발 프로세스는 설계기획→입력→통제→출력→검증→유효성 확인→변경 관리 단계로 수행된다.</w:t>
      </w:r>
    </w:p>
    <w:p>
      <w:pPr>
        <w:pStyle w:val="Heading2"/>
      </w:pPr>
      <w:r>
        <w:rPr>
          <w:b/>
          <w:color w:val="2E75B6"/>
          <w:sz w:val="22"/>
        </w:rPr>
        <w:t>9.4 외부 공급자 관리 (8.4)</w:t>
      </w:r>
    </w:p>
    <w:p>
      <w:pPr>
        <w:spacing w:after="80"/>
        <w:ind w:left="0"/>
      </w:pPr>
      <w:r>
        <w:rPr>
          <w:sz w:val="20"/>
        </w:rPr>
        <w:t>공급자 선정·평가·재평가 기준을 설정하고, 외주가공 품질을 관리한다.</w:t>
      </w:r>
    </w:p>
    <w:p>
      <w:pPr>
        <w:pStyle w:val="Heading2"/>
      </w:pPr>
      <w:r>
        <w:rPr>
          <w:b/>
          <w:color w:val="2E75B6"/>
          <w:sz w:val="22"/>
        </w:rPr>
        <w:t>9.5 생산 및 서비스 제공 (8.5)</w:t>
      </w:r>
    </w:p>
    <w:p>
      <w:pPr>
        <w:spacing w:after="80"/>
        <w:ind w:left="0"/>
      </w:pPr>
      <w:r>
        <w:rPr>
          <w:sz w:val="20"/>
        </w:rPr>
        <w:t>생산 WI, 공정도, 설비점검표에 따라 제조하고, 식별·추적성을 관리한다.</w:t>
      </w:r>
    </w:p>
    <w:p>
      <w:pPr>
        <w:pStyle w:val="Heading2"/>
      </w:pPr>
      <w:r>
        <w:rPr>
          <w:b/>
          <w:color w:val="2E75B6"/>
          <w:sz w:val="22"/>
        </w:rPr>
        <w:t>9.6 제품 출하 통제 (8.6)</w:t>
      </w:r>
    </w:p>
    <w:p>
      <w:pPr>
        <w:spacing w:after="80"/>
        <w:ind w:left="0"/>
      </w:pPr>
      <w:r>
        <w:rPr>
          <w:sz w:val="20"/>
        </w:rPr>
        <w:t>완제품 검사 합격품에만 출하 승인을 부여하고, 출하검사 성적서를 발행한다.</w:t>
      </w:r>
    </w:p>
    <w:p>
      <w:pPr>
        <w:pStyle w:val="Heading2"/>
      </w:pPr>
      <w:r>
        <w:rPr>
          <w:b/>
          <w:color w:val="2E75B6"/>
          <w:sz w:val="22"/>
        </w:rPr>
        <w:t>9.7 부적합 출력물의 관리 (8.7)</w:t>
      </w:r>
    </w:p>
    <w:p>
      <w:pPr>
        <w:spacing w:after="80"/>
        <w:ind w:left="0"/>
      </w:pPr>
      <w:r>
        <w:rPr>
          <w:sz w:val="20"/>
        </w:rPr>
        <w:t>부적합 제품은 붉은 태그로 격리하고, QMS-P-005에 따라 처리한다.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제10장  성과평가 (ISO 9001:2015 제9조)</w:t>
      </w:r>
    </w:p>
    <w:p>
      <w:pPr>
        <w:pStyle w:val="Heading2"/>
      </w:pPr>
      <w:r>
        <w:rPr>
          <w:b/>
          <w:color w:val="2E75B6"/>
          <w:sz w:val="22"/>
        </w:rPr>
        <w:t>10.1 모니터링·측정·분석·평가 (9.1)</w:t>
      </w:r>
    </w:p>
    <w:p>
      <w:pPr>
        <w:spacing w:after="80"/>
        <w:ind w:left="0"/>
      </w:pPr>
      <w:r>
        <w:rPr>
          <w:sz w:val="20"/>
        </w:rPr>
        <w:t>KPI 대시보드를 통해 월간 품질성과를 모니터링하고, 고객만족도를 반기별로 측정한다.</w:t>
      </w:r>
    </w:p>
    <w:p>
      <w:pPr>
        <w:pStyle w:val="Heading2"/>
      </w:pPr>
      <w:r>
        <w:rPr>
          <w:b/>
          <w:color w:val="2E75B6"/>
          <w:sz w:val="22"/>
        </w:rPr>
        <w:t>10.2 내부심사 (9.2)</w:t>
      </w:r>
    </w:p>
    <w:p>
      <w:pPr>
        <w:spacing w:after="80"/>
        <w:ind w:left="0"/>
      </w:pPr>
      <w:r>
        <w:rPr>
          <w:sz w:val="20"/>
        </w:rPr>
        <w:t>연 1회 이상 내부심사를 실시하여 QMS 적합성 및 유효성을 평가한다.</w:t>
      </w:r>
    </w:p>
    <w:p>
      <w:pPr>
        <w:pStyle w:val="Heading2"/>
      </w:pPr>
      <w:r>
        <w:rPr>
          <w:b/>
          <w:color w:val="2E75B6"/>
          <w:sz w:val="22"/>
        </w:rPr>
        <w:t>10.3 경영검토 (9.3)</w:t>
      </w:r>
    </w:p>
    <w:p>
      <w:pPr>
        <w:spacing w:after="80"/>
        <w:ind w:left="0"/>
      </w:pPr>
      <w:r>
        <w:rPr>
          <w:sz w:val="20"/>
        </w:rPr>
        <w:t>대표이사 주관 경영검토를 연 1회 이상 실시하여 QMS 지속적 적합성과 효과성을 검토한다.</w:t>
      </w:r>
    </w:p>
    <w:p>
      <w:r>
        <w:br w:type="page"/>
      </w:r>
    </w:p>
    <w:p>
      <w:pPr>
        <w:pStyle w:val="Heading1"/>
      </w:pPr>
      <w:r>
        <w:rPr>
          <w:b/>
          <w:color w:val="1F3864"/>
          <w:sz w:val="24"/>
        </w:rPr>
        <w:t>제11장  개선 (ISO 9001:2015 제10조)</w:t>
      </w:r>
    </w:p>
    <w:p>
      <w:pPr>
        <w:pStyle w:val="Heading2"/>
      </w:pPr>
      <w:r>
        <w:rPr>
          <w:b/>
          <w:color w:val="2E75B6"/>
          <w:sz w:val="22"/>
        </w:rPr>
        <w:t>11.1 지속적 개선 (10.1)</w:t>
      </w:r>
    </w:p>
    <w:p>
      <w:pPr>
        <w:spacing w:after="80"/>
        <w:ind w:left="0"/>
      </w:pPr>
      <w:r>
        <w:rPr>
          <w:sz w:val="20"/>
        </w:rPr>
        <w:t>분석 결과와 경영검토 출력사항을 통해 QMS 성과를 지속적으로 개선한다.</w:t>
      </w:r>
    </w:p>
    <w:p>
      <w:pPr>
        <w:pStyle w:val="Heading2"/>
      </w:pPr>
      <w:r>
        <w:rPr>
          <w:b/>
          <w:color w:val="2E75B6"/>
          <w:sz w:val="22"/>
        </w:rPr>
        <w:t>11.2 부적합 및 시정조치 (10.2)</w:t>
      </w:r>
    </w:p>
    <w:p>
      <w:pPr>
        <w:spacing w:after="80"/>
        <w:ind w:left="0"/>
      </w:pPr>
      <w:r>
        <w:rPr>
          <w:sz w:val="20"/>
        </w:rPr>
        <w:t>부적합 발생 시 즉각 대응하고 근본원인 분析 후 시정조치를 이행하며, 효과성을 검증한다.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